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8" w:color="173B7A"/>
          <w:left w:val="single" w:sz="8" w:color="173B7A"/>
          <w:bottom w:val="single" w:sz="8" w:color="173B7A"/>
          <w:right w:val="single" w:sz="8" w:color="173B7A"/>
          <w:insideH w:val="single" w:sz="8" w:color="173B7A"/>
          <w:insideV w:val="single" w:sz="8" w:color="173B7A"/>
        </w:tblBorders>
      </w:tblPr>
      <w:tblGrid>
        <w:gridCol w:w="1247"/>
        <w:gridCol w:w="2324"/>
        <w:gridCol w:w="1247"/>
        <w:gridCol w:w="2324"/>
        <w:gridCol w:w="1247"/>
        <w:gridCol w:w="2381"/>
      </w:tblGrid>
      <w:tr>
        <w:tc>
          <w:tcPr>
            <w:tcW w:type="dxa" w:w="10770"/>
            <w:gridSpan w:val="6"/>
            <w:shd w:fill="FFFFFF"/>
            <w:vAlign w:val="center"/>
          </w:tcPr>
          <w:p>
            <w:pPr>
              <w:spacing w:before="260" w:after="260"/>
              <w:jc w:val="center"/>
            </w:pPr>
            <w:r>
              <w:rPr>
                <w:rFonts w:ascii="Noto Sans SC Export" w:hAnsi="Noto Sans SC Export" w:eastAsia="Noto Sans SC Export"/>
                <w:b/>
                <w:color w:val="14213D"/>
                <w:sz w:val="46"/>
              </w:rPr>
              <w:t>定制化沟通记录表</w:t>
            </w:r>
          </w:p>
        </w:tc>
      </w:tr>
      <w:tr>
        <w:tc>
          <w:tcPr>
            <w:tcW w:type="dxa" w:w="10770"/>
            <w:gridSpan w:val="6"/>
            <w:shd w:fill="FFF4D8"/>
          </w:tcPr>
          <w:p>
            <w:pPr>
              <w:jc w:val="center"/>
            </w:pPr>
            <w:r>
              <w:rPr>
                <w:rFonts w:ascii="Noto Sans SC Export" w:hAnsi="Noto Sans SC Export" w:eastAsia="Noto Sans SC Export"/>
                <w:b/>
                <w:color w:val="8A4D00"/>
                <w:sz w:val="20"/>
              </w:rPr>
              <w:t>AI 草稿待人工复核：当前内容不得作为正式结论或执行依据。</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户号</w:t>
            </w:r>
          </w:p>
        </w:tc>
        <w:tc>
          <w:tcPr>
            <w:tcW w:type="dxa" w:w="2324"/>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g50-5-501</w:t>
            </w:r>
          </w:p>
        </w:tc>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面积</w:t>
            </w:r>
          </w:p>
        </w:tc>
        <w:tc>
          <w:tcPr>
            <w:tcW w:type="dxa" w:w="2324"/>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199平方米</w:t>
            </w:r>
          </w:p>
        </w:tc>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风格</w:t>
            </w:r>
          </w:p>
        </w:tc>
        <w:tc>
          <w:tcPr>
            <w:tcW w:type="dxa" w:w="2381"/>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意式米兰</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时间</w:t>
            </w:r>
          </w:p>
        </w:tc>
        <w:tc>
          <w:tcPr>
            <w:tcW w:type="dxa" w:w="2324"/>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2026年7月28日</w:t>
            </w:r>
          </w:p>
        </w:tc>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地点</w:t>
            </w:r>
          </w:p>
        </w:tc>
        <w:tc>
          <w:tcPr>
            <w:tcW w:type="dxa" w:w="2324"/>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w:t>
            </w:r>
          </w:p>
        </w:tc>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次数</w:t>
            </w:r>
          </w:p>
        </w:tc>
        <w:tc>
          <w:tcPr>
            <w:tcW w:type="dxa" w:w="2381"/>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第1次</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设计</w:t>
            </w:r>
          </w:p>
        </w:tc>
        <w:tc>
          <w:tcPr>
            <w:tcW w:type="dxa" w:w="9523"/>
            <w:gridSpan w:val="5"/>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管家</w:t>
            </w:r>
          </w:p>
        </w:tc>
        <w:tc>
          <w:tcPr>
            <w:tcW w:type="dxa" w:w="9523"/>
            <w:gridSpan w:val="5"/>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w:t>
            </w:r>
          </w:p>
        </w:tc>
      </w:tr>
      <w:tr>
        <w:tc>
          <w:tcPr>
            <w:tcW w:type="dxa" w:w="1247"/>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营销</w:t>
            </w:r>
          </w:p>
        </w:tc>
        <w:tc>
          <w:tcPr>
            <w:tcW w:type="dxa" w:w="9523"/>
            <w:gridSpan w:val="5"/>
            <w:shd w:fill="FFFFFF"/>
            <w:tcMar>
              <w:top w:w="70" w:type="dxa"/>
              <w:start w:w="90" w:type="dxa"/>
              <w:bottom w:w="70" w:type="dxa"/>
              <w:end w:w="90" w:type="dxa"/>
            </w:tcMar>
            <w:vAlign w:val="center"/>
          </w:tcPr>
          <w:p>
            <w:pPr>
              <w:spacing w:before="30" w:after="30"/>
              <w:jc w:val="left"/>
            </w:pPr>
            <w:r>
              <w:rPr>
                <w:rFonts w:ascii="Noto Sans SC Export" w:hAnsi="Noto Sans SC Export" w:eastAsia="Noto Sans SC Export"/>
                <w:b w:val="0"/>
                <w:color w:val="14213D"/>
                <w:sz w:val="19"/>
              </w:rPr>
              <w:t>-</w:t>
            </w:r>
          </w:p>
        </w:tc>
      </w:tr>
      <w:tr>
        <w:tc>
          <w:tcPr>
            <w:tcW w:type="dxa" w:w="1247"/>
            <w:shd w:fill="EAF2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总述</w:t>
            </w:r>
          </w:p>
        </w:tc>
        <w:tc>
          <w:tcPr>
            <w:tcW w:type="dxa" w:w="9523"/>
            <w:gridSpan w:val="5"/>
            <w:shd w:fill="EAF2FD"/>
            <w:tcMar>
              <w:top w:w="70" w:type="dxa"/>
              <w:start w:w="90" w:type="dxa"/>
              <w:bottom w:w="70" w:type="dxa"/>
              <w:end w:w="90" w:type="dxa"/>
            </w:tcMar>
            <w:vAlign w:val="center"/>
          </w:tcPr>
          <w:p>
            <w:pPr>
              <w:spacing w:before="30" w:after="30"/>
              <w:jc w:val="left"/>
            </w:pPr>
            <w:r>
              <w:rPr>
                <w:rFonts w:ascii="Noto Sans SC Export" w:hAnsi="Noto Sans SC Export" w:eastAsia="Noto Sans SC Export"/>
                <w:b/>
                <w:color w:val="14213D"/>
                <w:sz w:val="20"/>
              </w:rPr>
              <w:t>本次沟通明确了空间与功能布局、行动项、材料与饰面、电器与设备、柜体与收纳、机电与点位、软装与业主物品、总体方案。客户要求：客厅位置调整至房屋中间区域，进门玄关保留；厨房、中岛、西厨、餐厅与客厅之间不做硬性隔断，保持视线贯通。客厅西侧设置一字型楼梯，上方增加夹层作为活动空间；楼梯扶手结合电视墙设计，电视墙采用悬空、透气造型，楼梯半隐于电视墙后方。客厅东侧墙体向东移动，作为南套房的隔墙。；餐厅区域设置多功能长桌，兼顾就餐、小孩做作业及手工活动功能，形成家庭核心活动区。；主卧套房区域墙体向西移动约1.5米，以扩大卧室及卫生间面积；调整后卧室面积约23平方米。主卧采用酒店式套房布局：进门先经过步入式衣帽间，再进入睡眠区，卫生间独立设置；床头背景墙保持时尚简洁，床侧设置床头柜，另一侧设置长条形书桌及配套书柜。取消原北边衣柜，改为独立衣帽间与独立卫生间分离式布局；进门先入独立衣帽间，再通过移门进入独立卫生间。；其余 49 项按下表执行。</w:t>
            </w:r>
          </w:p>
        </w:tc>
      </w:tr>
    </w:tbl>
    <w:tbl>
      <w:tblPr>
        <w:tblW w:type="auto" w:w="0"/>
        <w:jc w:val="center"/>
        <w:tblLayout w:type="fixed"/>
        <w:tblLook w:firstColumn="1" w:firstRow="1" w:lastColumn="0" w:lastRow="0" w:noHBand="0" w:noVBand="1" w:val="04A0"/>
        <w:tblBorders>
          <w:top w:val="single" w:sz="4" w:color="8AA4CA"/>
          <w:left w:val="single" w:sz="4" w:color="8AA4CA"/>
          <w:bottom w:val="single" w:sz="4" w:color="8AA4CA"/>
          <w:right w:val="single" w:sz="4" w:color="8AA4CA"/>
          <w:insideH w:val="single" w:sz="4" w:color="8AA4CA"/>
          <w:insideV w:val="single" w:sz="4" w:color="8AA4CA"/>
        </w:tblBorders>
      </w:tblPr>
      <w:tblGrid>
        <w:gridCol w:w="1020"/>
        <w:gridCol w:w="1621"/>
        <w:gridCol w:w="1621"/>
        <w:gridCol w:w="1621"/>
        <w:gridCol w:w="1621"/>
        <w:gridCol w:w="1621"/>
        <w:gridCol w:w="1621"/>
      </w:tblGrid>
      <w:tr>
        <w:tc>
          <w:tcPr>
            <w:tcW w:type="dxa" w:w="1020"/>
            <w:tcMar>
              <w:top w:w="70" w:type="dxa"/>
              <w:start w:w="90" w:type="dxa"/>
              <w:bottom w:w="70" w:type="dxa"/>
              <w:end w:w="90" w:type="dxa"/>
            </w:tcMar>
            <w:shd w:fill="F8FBFF"/>
            <w:vAlign w:val="center"/>
          </w:tcPr>
          <w:p>
            <w:pPr>
              <w:spacing w:before="30" w:after="30"/>
              <w:jc w:val="center"/>
            </w:pPr>
            <w:r>
              <w:rPr>
                <w:rFonts w:ascii="Noto Sans SC Export" w:hAnsi="Noto Sans SC Export" w:eastAsia="Noto Sans SC Export"/>
                <w:b/>
                <w:color w:val="173B7A"/>
                <w:sz w:val="16"/>
              </w:rPr>
              <w:t>颜色说明</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237A3B"/>
                <w:sz w:val="14"/>
              </w:rPr>
              <w:t>● 已明确/已确认</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2454A6"/>
                <w:sz w:val="14"/>
              </w:rPr>
              <w:t>● 方向性要求/建议</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B26A00"/>
                <w:sz w:val="14"/>
              </w:rPr>
              <w:t>● 待确认/责任待定</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D52B2B"/>
                <w:sz w:val="14"/>
              </w:rPr>
              <w:t>● 风险或重要限制</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A61D8E"/>
                <w:sz w:val="14"/>
              </w:rPr>
              <w:t>● 报价、增项或费用相关</w:t>
            </w:r>
          </w:p>
        </w:tc>
        <w:tc>
          <w:tcPr>
            <w:tcW w:type="dxa" w:w="1621"/>
            <w:tcMar>
              <w:top w:w="55" w:type="dxa"/>
              <w:start w:w="90" w:type="dxa"/>
              <w:bottom w:w="55" w:type="dxa"/>
              <w:end w:w="90" w:type="dxa"/>
            </w:tcMar>
            <w:shd w:fill="F8FBFF"/>
          </w:tcPr>
          <w:p>
            <w:pPr>
              <w:spacing w:before="20" w:after="20"/>
            </w:pPr>
            <w:r>
              <w:rPr>
                <w:rFonts w:ascii="Noto Sans SC Export" w:hAnsi="Noto Sans SC Export" w:eastAsia="Noto Sans SC Export"/>
                <w:color w:val="8A94A6"/>
                <w:sz w:val="14"/>
              </w:rPr>
              <w:t>● 已取消事项</w:t>
            </w:r>
          </w:p>
        </w:tc>
      </w:tr>
    </w:tbl>
    <w:tbl>
      <w:tblPr>
        <w:tblW w:type="auto" w:w="0"/>
        <w:jc w:val="center"/>
        <w:tblLayout w:type="fixed"/>
        <w:tblLook w:firstColumn="1" w:firstRow="1" w:lastColumn="0" w:lastRow="0" w:noHBand="0" w:noVBand="1" w:val="04A0"/>
        <w:tblBorders>
          <w:top w:val="single" w:sz="5" w:color="8AA4CA"/>
          <w:left w:val="single" w:sz="5" w:color="8AA4CA"/>
          <w:bottom w:val="single" w:sz="5" w:color="8AA4CA"/>
          <w:right w:val="single" w:sz="5" w:color="8AA4CA"/>
          <w:insideH w:val="single" w:sz="5" w:color="8AA4CA"/>
          <w:insideV w:val="single" w:sz="5" w:color="8AA4CA"/>
        </w:tblBorders>
      </w:tblPr>
      <w:tblGrid>
        <w:gridCol w:w="1361"/>
        <w:gridCol w:w="9298"/>
      </w:tblGrid>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空间与功能布局</w:t>
            </w:r>
          </w:p>
        </w:tc>
        <w:tc>
          <w:tcPr>
            <w:tcW w:type="dxa" w:w="9298"/>
            <w:tcMar>
              <w:top w:w="65" w:type="dxa"/>
              <w:start w:w="100" w:type="dxa"/>
              <w:bottom w:w="65" w:type="dxa"/>
              <w:end w:w="100" w:type="dxa"/>
            </w:tcMar>
          </w:tcPr>
          <w:p>
            <w:pPr>
              <w:numPr>
                <w:ilvl w:val="0"/>
                <w:numId w:val="10"/>
              </w:numPr>
              <w:spacing w:after="60" w:line="259" w:lineRule="auto"/>
            </w:pPr>
            <w:r>
              <w:rPr>
                <w:rFonts w:ascii="Noto Sans SC Export" w:hAnsi="Noto Sans SC Export" w:eastAsia="Noto Sans SC Export"/>
                <w:b w:val="0"/>
                <w:color w:val="A61D8E"/>
                <w:sz w:val="18"/>
              </w:rPr>
              <w:t>客厅位置调整至房屋中间区域，进门玄关保留；厨房、中岛、西厨、餐厅与客厅之间不做硬性隔断，保持视线贯通。客厅西侧设置一字型楼梯，上方增加夹层作为活动空间；楼梯扶手结合电视墙设计，电视墙采用悬空、透气造型，楼梯半隐于电视墙后方。客厅东侧墙体向东移动，作为南套房的隔墙。</w:t>
            </w:r>
          </w:p>
          <w:p>
            <w:pPr>
              <w:spacing w:after="40"/>
              <w:ind w:left="369"/>
            </w:pPr>
            <w:r>
              <w:rPr>
                <w:rFonts w:ascii="Noto Sans SC Export" w:hAnsi="Noto Sans SC Export" w:eastAsia="Noto Sans SC Export"/>
                <w:color w:val="65758F"/>
                <w:sz w:val="15"/>
              </w:rPr>
              <w:t>责任：设计</w:t>
            </w:r>
          </w:p>
          <w:p>
            <w:pPr>
              <w:numPr>
                <w:ilvl w:val="0"/>
                <w:numId w:val="10"/>
              </w:numPr>
              <w:spacing w:after="60" w:line="259" w:lineRule="auto"/>
            </w:pPr>
            <w:r>
              <w:rPr>
                <w:rFonts w:ascii="Noto Sans SC Export" w:hAnsi="Noto Sans SC Export" w:eastAsia="Noto Sans SC Export"/>
                <w:b w:val="0"/>
                <w:color w:val="A61D8E"/>
                <w:sz w:val="18"/>
              </w:rPr>
              <w:t>餐厅区域设置多功能长桌，兼顾就餐、小孩做作业及手工活动功能，形成家庭核心活动区。</w:t>
            </w:r>
          </w:p>
          <w:p>
            <w:pPr>
              <w:numPr>
                <w:ilvl w:val="0"/>
                <w:numId w:val="10"/>
              </w:numPr>
              <w:spacing w:after="60" w:line="259" w:lineRule="auto"/>
            </w:pPr>
            <w:r>
              <w:rPr>
                <w:rFonts w:ascii="Noto Sans SC Export" w:hAnsi="Noto Sans SC Export" w:eastAsia="Noto Sans SC Export"/>
                <w:b w:val="0"/>
                <w:color w:val="A61D8E"/>
                <w:sz w:val="18"/>
              </w:rPr>
              <w:t>主卧套房区域墙体向西移动约1.5米，以扩大卧室及卫生间面积；调整后卧室面积约23平方米。主卧采用酒店式套房布局：进门先经过步入式衣帽间，再进入睡眠区，卫生间独立设置；床头背景墙保持时尚简洁，床侧设置床头柜，另一侧设置长条形书桌及配套书柜。取消原北边衣柜，改为独立衣帽间与独立卫生间分离式布局；进门先入独立衣帽间，再通过移门进入独立卫生间。</w:t>
            </w:r>
          </w:p>
          <w:p>
            <w:pPr>
              <w:spacing w:after="40"/>
              <w:ind w:left="369"/>
            </w:pPr>
            <w:r>
              <w:rPr>
                <w:rFonts w:ascii="Noto Sans SC Export" w:hAnsi="Noto Sans SC Export" w:eastAsia="Noto Sans SC Export"/>
                <w:color w:val="65758F"/>
                <w:sz w:val="15"/>
              </w:rPr>
              <w:t>责任：设计</w:t>
            </w:r>
          </w:p>
          <w:p>
            <w:pPr>
              <w:numPr>
                <w:ilvl w:val="0"/>
                <w:numId w:val="10"/>
              </w:numPr>
              <w:spacing w:after="60" w:line="259" w:lineRule="auto"/>
            </w:pPr>
            <w:r>
              <w:rPr>
                <w:rFonts w:ascii="Noto Sans SC Export" w:hAnsi="Noto Sans SC Export" w:eastAsia="Noto Sans SC Export"/>
                <w:b w:val="0"/>
                <w:color w:val="2454A6"/>
                <w:sz w:val="18"/>
              </w:rPr>
              <w:t>南套房一从玄关墙西侧进门，床头靠东放置；床头背景墙东侧设衣帽间，衣帽间东侧设套卫；房间内放置1.5米床。</w:t>
            </w:r>
          </w:p>
          <w:p>
            <w:pPr>
              <w:spacing w:after="40"/>
              <w:ind w:left="369"/>
            </w:pPr>
            <w:r>
              <w:rPr>
                <w:rFonts w:ascii="Noto Sans SC Export" w:hAnsi="Noto Sans SC Export" w:eastAsia="Noto Sans SC Export"/>
                <w:color w:val="65758F"/>
                <w:sz w:val="15"/>
              </w:rPr>
              <w:t>责任：设计</w:t>
            </w:r>
          </w:p>
          <w:p>
            <w:pPr>
              <w:numPr>
                <w:ilvl w:val="0"/>
                <w:numId w:val="10"/>
              </w:numPr>
              <w:spacing w:after="60" w:line="259" w:lineRule="auto"/>
            </w:pPr>
            <w:r>
              <w:rPr>
                <w:rFonts w:ascii="Noto Sans SC Export" w:hAnsi="Noto Sans SC Export" w:eastAsia="Noto Sans SC Export"/>
                <w:b w:val="0"/>
                <w:color w:val="2454A6"/>
                <w:sz w:val="18"/>
              </w:rPr>
              <w:t>南套房二从玄关墙东侧进门，进门西侧设衣帽间；套卫从西南侧开门进入；房间内放置1.5米床。</w:t>
            </w:r>
          </w:p>
          <w:p>
            <w:pPr>
              <w:numPr>
                <w:ilvl w:val="0"/>
                <w:numId w:val="10"/>
              </w:numPr>
              <w:spacing w:after="60" w:line="259" w:lineRule="auto"/>
            </w:pPr>
            <w:r>
              <w:rPr>
                <w:rFonts w:ascii="Noto Sans SC Export" w:hAnsi="Noto Sans SC Export" w:eastAsia="Noto Sans SC Export"/>
                <w:b w:val="0"/>
                <w:color w:val="2454A6"/>
                <w:sz w:val="18"/>
              </w:rPr>
              <w:t>两个次卧面积均约为 20-21 平方米；布局上保持规整，避免因异形切割导致空间凌乱，确保收纳与活动空间的平衡。</w:t>
            </w:r>
          </w:p>
          <w:p>
            <w:pPr>
              <w:spacing w:after="40"/>
              <w:ind w:left="369"/>
            </w:pPr>
            <w:r>
              <w:rPr>
                <w:rFonts w:ascii="Noto Sans SC Export" w:hAnsi="Noto Sans SC Export" w:eastAsia="Noto Sans SC Export"/>
                <w:color w:val="65758F"/>
                <w:sz w:val="15"/>
              </w:rPr>
              <w:t>责任：设计</w:t>
            </w:r>
          </w:p>
          <w:p>
            <w:pPr>
              <w:numPr>
                <w:ilvl w:val="0"/>
                <w:numId w:val="10"/>
              </w:numPr>
              <w:spacing w:after="60" w:line="259" w:lineRule="auto"/>
            </w:pPr>
            <w:r>
              <w:rPr>
                <w:rFonts w:ascii="Noto Sans SC Export" w:hAnsi="Noto Sans SC Export" w:eastAsia="Noto Sans SC Export"/>
                <w:b w:val="0"/>
                <w:color w:val="2454A6"/>
                <w:sz w:val="18"/>
              </w:rPr>
              <w:t>原客卫及部分相邻空间改为客房兼棋牌室，内部配置折叠床，平时作为娱乐空间，亲友留宿时展开使用。</w:t>
            </w:r>
          </w:p>
          <w:p>
            <w:pPr>
              <w:numPr>
                <w:ilvl w:val="0"/>
                <w:numId w:val="10"/>
              </w:numPr>
              <w:spacing w:after="60" w:line="259" w:lineRule="auto"/>
            </w:pPr>
            <w:r>
              <w:rPr>
                <w:rFonts w:ascii="Noto Sans SC Export" w:hAnsi="Noto Sans SC Export" w:eastAsia="Noto Sans SC Export"/>
                <w:b w:val="0"/>
                <w:color w:val="2454A6"/>
                <w:sz w:val="18"/>
              </w:rPr>
              <w:t>原工位区域北侧设为工位，南侧设为敞开式家政间；洗衣房西侧柜体放置小洗衣机及烫衣板，东侧台面并排放置两台洗衣机及衣物护理机。该房间定义为两用空间：有住家保姆时作为保姆间，无保姆时作为储藏间；同时规划家政间功能，包含水池及洗衣机位。家政间位于阳台侧，需通过特定房间进入，同时该房间也是通往露台的通道。</w:t>
            </w:r>
          </w:p>
          <w:p>
            <w:pPr>
              <w:spacing w:after="40"/>
              <w:ind w:left="369"/>
            </w:pPr>
            <w:r>
              <w:rPr>
                <w:rFonts w:ascii="Noto Sans SC Export" w:hAnsi="Noto Sans SC Export" w:eastAsia="Noto Sans SC Export"/>
                <w:color w:val="65758F"/>
                <w:sz w:val="15"/>
              </w:rPr>
              <w:t>责任：设计</w:t>
            </w:r>
          </w:p>
          <w:p>
            <w:pPr>
              <w:numPr>
                <w:ilvl w:val="0"/>
                <w:numId w:val="10"/>
              </w:numPr>
              <w:spacing w:after="60" w:line="259" w:lineRule="auto"/>
            </w:pPr>
            <w:r>
              <w:rPr>
                <w:rFonts w:ascii="Noto Sans SC Export" w:hAnsi="Noto Sans SC Export" w:eastAsia="Noto Sans SC Export"/>
                <w:b w:val="0"/>
                <w:color w:val="2454A6"/>
                <w:sz w:val="18"/>
              </w:rPr>
              <w:t>主卫取消浴缸，保留淋浴区、马桶及双台盆；公卫保留淋浴、台盆及马桶。</w:t>
            </w:r>
          </w:p>
          <w:p>
            <w:pPr>
              <w:numPr>
                <w:ilvl w:val="0"/>
                <w:numId w:val="10"/>
              </w:numPr>
              <w:spacing w:after="60" w:line="259" w:lineRule="auto"/>
            </w:pPr>
            <w:r>
              <w:rPr>
                <w:rFonts w:ascii="Noto Sans SC Export" w:hAnsi="Noto Sans SC Export" w:eastAsia="Noto Sans SC Export"/>
                <w:b w:val="0"/>
                <w:color w:val="A61D8E"/>
                <w:sz w:val="18"/>
              </w:rPr>
              <w:t>入户门洞位置需调整以实现两侧体块对称，确保进门后视觉平衡与舒适感。</w:t>
            </w:r>
          </w:p>
          <w:p>
            <w:pPr>
              <w:spacing w:after="40"/>
              <w:ind w:left="369"/>
            </w:pPr>
            <w:r>
              <w:rPr>
                <w:rFonts w:ascii="Noto Sans SC Export" w:hAnsi="Noto Sans SC Export" w:eastAsia="Noto Sans SC Export"/>
                <w:color w:val="65758F"/>
                <w:sz w:val="15"/>
              </w:rPr>
              <w:t>责任：设计</w:t>
            </w:r>
          </w:p>
          <w:p>
            <w:pPr>
              <w:numPr>
                <w:ilvl w:val="0"/>
                <w:numId w:val="10"/>
              </w:numPr>
              <w:spacing w:after="60" w:line="259" w:lineRule="auto"/>
            </w:pPr>
            <w:r>
              <w:rPr>
                <w:rFonts w:ascii="Noto Sans SC Export" w:hAnsi="Noto Sans SC Export" w:eastAsia="Noto Sans SC Export"/>
                <w:b w:val="0"/>
                <w:color w:val="2454A6"/>
                <w:sz w:val="18"/>
              </w:rPr>
              <w:t>全屋房间布局需适当放大，特别是儿童房空间，以满足居住功能需求；客厅面积相应调整。</w:t>
            </w:r>
          </w:p>
          <w:p>
            <w:pPr>
              <w:numPr>
                <w:ilvl w:val="0"/>
                <w:numId w:val="10"/>
              </w:numPr>
              <w:spacing w:after="60" w:line="259" w:lineRule="auto"/>
            </w:pPr>
            <w:r>
              <w:rPr>
                <w:rFonts w:ascii="Noto Sans SC Export" w:hAnsi="Noto Sans SC Export" w:eastAsia="Noto Sans SC Export"/>
                <w:b w:val="0"/>
                <w:color w:val="A61D8E"/>
                <w:sz w:val="18"/>
              </w:rPr>
              <w:t>客厅及玄关区域进深增加 60 cm。</w:t>
            </w:r>
          </w:p>
          <w:p>
            <w:pPr>
              <w:numPr>
                <w:ilvl w:val="0"/>
                <w:numId w:val="10"/>
              </w:numPr>
              <w:spacing w:after="60" w:line="259" w:lineRule="auto"/>
            </w:pPr>
            <w:r>
              <w:rPr>
                <w:rFonts w:ascii="Noto Sans SC Export" w:hAnsi="Noto Sans SC Export" w:eastAsia="Noto Sans SC Export"/>
                <w:b w:val="0"/>
                <w:color w:val="2454A6"/>
                <w:sz w:val="18"/>
              </w:rPr>
              <w:t>主卧室房门向东移动，并改为双开门形式。</w:t>
            </w:r>
          </w:p>
          <w:p>
            <w:pPr>
              <w:numPr>
                <w:ilvl w:val="0"/>
                <w:numId w:val="10"/>
              </w:numPr>
              <w:spacing w:after="60" w:line="259" w:lineRule="auto"/>
            </w:pPr>
            <w:r>
              <w:rPr>
                <w:rFonts w:ascii="Noto Sans SC Export" w:hAnsi="Noto Sans SC Export" w:eastAsia="Noto Sans SC Export"/>
                <w:b w:val="0"/>
                <w:color w:val="A61D8E"/>
                <w:sz w:val="18"/>
              </w:rPr>
              <w:t>主卫生间南侧墙体向北移动；北侧设置浴缸，西侧设置双台盆，南侧设置淋浴房和马桶间，东侧设置活动梳妆台。</w:t>
            </w:r>
          </w:p>
          <w:p>
            <w:pPr>
              <w:numPr>
                <w:ilvl w:val="0"/>
                <w:numId w:val="10"/>
              </w:numPr>
              <w:spacing w:after="60" w:line="259" w:lineRule="auto"/>
            </w:pPr>
            <w:r>
              <w:rPr>
                <w:rFonts w:ascii="Noto Sans SC Export" w:hAnsi="Noto Sans SC Export" w:eastAsia="Noto Sans SC Export"/>
                <w:b w:val="0"/>
                <w:color w:val="2454A6"/>
                <w:sz w:val="18"/>
              </w:rPr>
              <w:t>卫生间马桶位预留宽度为 1 m。</w:t>
            </w:r>
          </w:p>
          <w:p>
            <w:pPr>
              <w:numPr>
                <w:ilvl w:val="0"/>
                <w:numId w:val="10"/>
              </w:numPr>
              <w:spacing w:after="60" w:line="259" w:lineRule="auto"/>
            </w:pPr>
            <w:r>
              <w:rPr>
                <w:rFonts w:ascii="Noto Sans SC Export" w:hAnsi="Noto Sans SC Export" w:eastAsia="Noto Sans SC Export"/>
                <w:b w:val="0"/>
                <w:color w:val="2454A6"/>
                <w:sz w:val="18"/>
              </w:rPr>
              <w:t>二层挑空区上方新增玻璃封闭房间作为儿童活动区，采用落地大玻璃围合至顶，内部预留床铺位置，需配合帘子使用。</w:t>
            </w:r>
          </w:p>
          <w:p>
            <w:pPr>
              <w:numPr>
                <w:ilvl w:val="0"/>
                <w:numId w:val="10"/>
              </w:numPr>
              <w:spacing w:after="60" w:line="259" w:lineRule="auto"/>
            </w:pPr>
            <w:r>
              <w:rPr>
                <w:rFonts w:ascii="Noto Sans SC Export" w:hAnsi="Noto Sans SC Export" w:eastAsia="Noto Sans SC Export"/>
                <w:b w:val="0"/>
                <w:color w:val="A61D8E"/>
                <w:sz w:val="18"/>
              </w:rPr>
              <w:t>阳台玻璃门/窗单块宽度选择 2.43 m 或 1.5 m 规格，避免分格过碎。</w:t>
            </w:r>
          </w:p>
          <w:p>
            <w:pPr>
              <w:numPr>
                <w:ilvl w:val="0"/>
                <w:numId w:val="10"/>
              </w:numPr>
              <w:spacing w:after="60" w:line="259" w:lineRule="auto"/>
            </w:pPr>
            <w:r>
              <w:rPr>
                <w:rFonts w:ascii="Noto Sans SC Export" w:hAnsi="Noto Sans SC Export" w:eastAsia="Noto Sans SC Export"/>
                <w:b w:val="0"/>
                <w:color w:val="A61D8E"/>
                <w:sz w:val="18"/>
              </w:rPr>
              <w:t>楼梯台阶排布需重新调整，优化台阶数量或尺寸。</w:t>
            </w:r>
          </w:p>
          <w:p>
            <w:pPr>
              <w:numPr>
                <w:ilvl w:val="0"/>
                <w:numId w:val="10"/>
              </w:numPr>
              <w:spacing w:after="60" w:line="259" w:lineRule="auto"/>
            </w:pPr>
            <w:r>
              <w:rPr>
                <w:rFonts w:ascii="Noto Sans SC Export" w:hAnsi="Noto Sans SC Export" w:eastAsia="Noto Sans SC Export"/>
                <w:b w:val="0"/>
                <w:color w:val="2454A6"/>
                <w:sz w:val="18"/>
              </w:rPr>
              <w:t>全屋采用意式米兰极简风格，基于原265户型方案进行调整；玄关南侧两间次卧改为套房，客厅上方增设夹层作为第四个房间（活动空间）。</w:t>
            </w:r>
          </w:p>
          <w:p>
            <w:pPr>
              <w:spacing w:after="40"/>
              <w:ind w:left="369"/>
            </w:pPr>
            <w:r>
              <w:rPr>
                <w:rFonts w:ascii="Noto Sans SC Export" w:hAnsi="Noto Sans SC Export" w:eastAsia="Noto Sans SC Export"/>
                <w:color w:val="65758F"/>
                <w:sz w:val="15"/>
              </w:rPr>
              <w:t>责任：设计</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材料与饰面</w:t>
            </w:r>
          </w:p>
        </w:tc>
        <w:tc>
          <w:tcPr>
            <w:tcW w:type="dxa" w:w="9298"/>
            <w:tcMar>
              <w:top w:w="65" w:type="dxa"/>
              <w:start w:w="100" w:type="dxa"/>
              <w:bottom w:w="65" w:type="dxa"/>
              <w:end w:w="100" w:type="dxa"/>
            </w:tcMar>
          </w:tcPr>
          <w:p>
            <w:pPr>
              <w:numPr>
                <w:ilvl w:val="0"/>
                <w:numId w:val="11"/>
              </w:numPr>
              <w:spacing w:after="60" w:line="259" w:lineRule="auto"/>
            </w:pPr>
            <w:r>
              <w:rPr>
                <w:rFonts w:ascii="Noto Sans SC Export" w:hAnsi="Noto Sans SC Export" w:eastAsia="Noto Sans SC Export"/>
                <w:b w:val="0"/>
                <w:color w:val="2454A6"/>
                <w:sz w:val="18"/>
              </w:rPr>
              <w:t>客厅及挑空区吊顶采用极简直线条高低差设计，取消圆弧造型及复杂灯带翻边；餐厅区域计划采用反光灯槽吊顶设计；过道及普通区域吊顶高度统一约为2.5米。</w:t>
            </w:r>
          </w:p>
          <w:p>
            <w:pPr>
              <w:numPr>
                <w:ilvl w:val="0"/>
                <w:numId w:val="11"/>
              </w:numPr>
              <w:spacing w:after="60" w:line="259" w:lineRule="auto"/>
            </w:pPr>
            <w:r>
              <w:rPr>
                <w:rFonts w:ascii="Noto Sans SC Export" w:hAnsi="Noto Sans SC Export" w:eastAsia="Noto Sans SC Export"/>
                <w:b w:val="0"/>
                <w:color w:val="A61D8E"/>
                <w:sz w:val="18"/>
              </w:rPr>
              <w:t>全屋地面（含厨房区域）通铺哑光质感木地板，避免亮面丝绸缎面效果；大面积铺设需考虑热胀冷缩，设置伸缩缝（如每隔6米留缝）或金属切割过渡收口。</w:t>
            </w:r>
          </w:p>
          <w:p>
            <w:pPr>
              <w:spacing w:after="40"/>
              <w:ind w:left="369"/>
            </w:pPr>
            <w:r>
              <w:rPr>
                <w:rFonts w:ascii="Noto Sans SC Export" w:hAnsi="Noto Sans SC Export" w:eastAsia="Noto Sans SC Export"/>
                <w:color w:val="65758F"/>
                <w:sz w:val="15"/>
              </w:rPr>
              <w:t>责任：业主</w:t>
            </w:r>
          </w:p>
          <w:p>
            <w:pPr>
              <w:numPr>
                <w:ilvl w:val="0"/>
                <w:numId w:val="11"/>
              </w:numPr>
              <w:spacing w:after="60" w:line="259" w:lineRule="auto"/>
            </w:pPr>
            <w:r>
              <w:rPr>
                <w:rFonts w:ascii="Noto Sans SC Export" w:hAnsi="Noto Sans SC Export" w:eastAsia="Noto Sans SC Export"/>
                <w:b w:val="0"/>
                <w:color w:val="A61D8E"/>
                <w:sz w:val="18"/>
              </w:rPr>
              <w:t>次卧采用套房式布局，进门处设置L型橱柜/衣帽间，内部包含台盆、马桶及淋浴区；床尾设置衣柜，书桌靠南窗及凹洞位置摆放并与墙面拉平，床头柜置于床侧。</w:t>
            </w:r>
          </w:p>
          <w:p>
            <w:pPr>
              <w:numPr>
                <w:ilvl w:val="0"/>
                <w:numId w:val="11"/>
              </w:numPr>
              <w:spacing w:after="60" w:line="259" w:lineRule="auto"/>
            </w:pPr>
            <w:r>
              <w:rPr>
                <w:rFonts w:ascii="Noto Sans SC Export" w:hAnsi="Noto Sans SC Export" w:eastAsia="Noto Sans SC Export"/>
                <w:b w:val="0"/>
                <w:color w:val="2454A6"/>
                <w:sz w:val="18"/>
              </w:rPr>
              <w:t>主卫镜柜选择拉长款式，覆盖更多墙面区域，避免台面仅配小镜子。</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电器与设备</w:t>
            </w:r>
          </w:p>
        </w:tc>
        <w:tc>
          <w:tcPr>
            <w:tcW w:type="dxa" w:w="9298"/>
            <w:tcMar>
              <w:top w:w="65" w:type="dxa"/>
              <w:start w:w="100" w:type="dxa"/>
              <w:bottom w:w="65" w:type="dxa"/>
              <w:end w:w="100" w:type="dxa"/>
            </w:tcMar>
          </w:tcPr>
          <w:p>
            <w:pPr>
              <w:numPr>
                <w:ilvl w:val="0"/>
                <w:numId w:val="12"/>
              </w:numPr>
              <w:spacing w:after="60" w:line="259" w:lineRule="auto"/>
            </w:pPr>
            <w:r>
              <w:rPr>
                <w:rFonts w:ascii="Noto Sans SC Export" w:hAnsi="Noto Sans SC Export" w:eastAsia="Noto Sans SC Export"/>
                <w:b w:val="0"/>
                <w:color w:val="2454A6"/>
                <w:sz w:val="18"/>
              </w:rPr>
              <w:t>主卫生间配置圆形浴缸、桑拿房、淋浴区、马桶及单台盆。</w:t>
            </w:r>
          </w:p>
          <w:p>
            <w:pPr>
              <w:numPr>
                <w:ilvl w:val="0"/>
                <w:numId w:val="12"/>
              </w:numPr>
              <w:spacing w:after="60" w:line="259" w:lineRule="auto"/>
            </w:pPr>
            <w:r>
              <w:rPr>
                <w:rFonts w:ascii="Noto Sans SC Export" w:hAnsi="Noto Sans SC Export" w:eastAsia="Noto Sans SC Export"/>
                <w:b w:val="0"/>
                <w:color w:val="2454A6"/>
                <w:sz w:val="18"/>
              </w:rPr>
              <w:t>餐厅及厨房岛台长度调整为 2 米，需满足早餐吧台功能。</w:t>
            </w:r>
          </w:p>
          <w:p>
            <w:pPr>
              <w:numPr>
                <w:ilvl w:val="0"/>
                <w:numId w:val="12"/>
              </w:numPr>
              <w:spacing w:after="60" w:line="259" w:lineRule="auto"/>
            </w:pPr>
            <w:r>
              <w:rPr>
                <w:rFonts w:ascii="Noto Sans SC Export" w:hAnsi="Noto Sans SC Export" w:eastAsia="Noto Sans SC Export"/>
                <w:b w:val="0"/>
                <w:color w:val="2454A6"/>
                <w:sz w:val="18"/>
              </w:rPr>
              <w:t>全屋配置两台扫地机器人，主卧室放置一台，公共区域放置一台。</w:t>
            </w:r>
          </w:p>
          <w:p>
            <w:pPr>
              <w:numPr>
                <w:ilvl w:val="0"/>
                <w:numId w:val="12"/>
              </w:numPr>
              <w:spacing w:after="60" w:line="259" w:lineRule="auto"/>
            </w:pPr>
            <w:r>
              <w:rPr>
                <w:rFonts w:ascii="Noto Sans SC Export" w:hAnsi="Noto Sans SC Export" w:eastAsia="Noto Sans SC Export"/>
                <w:b w:val="0"/>
                <w:color w:val="2454A6"/>
                <w:sz w:val="18"/>
              </w:rPr>
              <w:t>全屋电器暂定为业主自理，业主自行市场了解选型；若需设计方提供，可后续查看推荐产品。</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柜体与收纳</w:t>
            </w:r>
          </w:p>
        </w:tc>
        <w:tc>
          <w:tcPr>
            <w:tcW w:type="dxa" w:w="9298"/>
            <w:tcMar>
              <w:top w:w="65" w:type="dxa"/>
              <w:start w:w="100" w:type="dxa"/>
              <w:bottom w:w="65" w:type="dxa"/>
              <w:end w:w="100" w:type="dxa"/>
            </w:tcMar>
          </w:tcPr>
          <w:p>
            <w:pPr>
              <w:numPr>
                <w:ilvl w:val="0"/>
                <w:numId w:val="13"/>
              </w:numPr>
              <w:spacing w:after="60" w:line="259" w:lineRule="auto"/>
            </w:pPr>
            <w:r>
              <w:rPr>
                <w:rFonts w:ascii="Noto Sans SC Export" w:hAnsi="Noto Sans SC Export" w:eastAsia="Noto Sans SC Export"/>
                <w:b w:val="0"/>
                <w:color w:val="2454A6"/>
                <w:sz w:val="18"/>
              </w:rPr>
              <w:t>精装标配厨房柜体品牌为威莱达，其他区域为合作工厂仿威法柜体；业主可选择留白并自行采购第三方品牌（如木里木外、图森等），费用自理，精装方扣除相应面积费用。</w:t>
            </w:r>
          </w:p>
          <w:p>
            <w:pPr>
              <w:spacing w:after="40"/>
              <w:ind w:left="369"/>
            </w:pPr>
            <w:r>
              <w:rPr>
                <w:rFonts w:ascii="Noto Sans SC Export" w:hAnsi="Noto Sans SC Export" w:eastAsia="Noto Sans SC Export"/>
                <w:color w:val="65758F"/>
                <w:sz w:val="15"/>
              </w:rPr>
              <w:t>责任：业主</w:t>
            </w:r>
          </w:p>
          <w:p>
            <w:pPr>
              <w:numPr>
                <w:ilvl w:val="0"/>
                <w:numId w:val="13"/>
              </w:numPr>
              <w:spacing w:after="60" w:line="259" w:lineRule="auto"/>
            </w:pPr>
            <w:r>
              <w:rPr>
                <w:rFonts w:ascii="Noto Sans SC Export" w:hAnsi="Noto Sans SC Export" w:eastAsia="Noto Sans SC Export"/>
                <w:b w:val="0"/>
                <w:color w:val="A61D8E"/>
                <w:sz w:val="18"/>
              </w:rPr>
              <w:t>厨房岛台长度最终确认为 1.75 米；侧面可考虑局部内退设计以容纳早餐椅；岛台旁过道宽度保持 950 mm（最小可缩至 900 mm）。</w:t>
            </w:r>
          </w:p>
          <w:p>
            <w:pPr>
              <w:numPr>
                <w:ilvl w:val="0"/>
                <w:numId w:val="13"/>
              </w:numPr>
              <w:spacing w:after="60" w:line="259" w:lineRule="auto"/>
            </w:pPr>
            <w:r>
              <w:rPr>
                <w:rFonts w:ascii="Noto Sans SC Export" w:hAnsi="Noto Sans SC Export" w:eastAsia="Noto Sans SC Export"/>
                <w:b w:val="0"/>
                <w:color w:val="A61D8E"/>
                <w:sz w:val="18"/>
              </w:rPr>
              <w:t>厨房/餐厅区域设置双面柜体或将冰箱嵌入立面柜体中，以隐藏电器；厨房及家政区墙面新增一排薄储物柜用于收纳杂物；水池地柜保留在水池下方，烤箱、冰箱等电器集中布置。</w:t>
            </w:r>
          </w:p>
          <w:p>
            <w:pPr>
              <w:numPr>
                <w:ilvl w:val="0"/>
                <w:numId w:val="13"/>
              </w:numPr>
              <w:spacing w:after="60" w:line="259" w:lineRule="auto"/>
            </w:pPr>
            <w:r>
              <w:rPr>
                <w:rFonts w:ascii="Noto Sans SC Export" w:hAnsi="Noto Sans SC Export" w:eastAsia="Noto Sans SC Export"/>
                <w:b w:val="0"/>
                <w:color w:val="A61D8E"/>
                <w:sz w:val="18"/>
              </w:rPr>
              <w:t>家政间进门一侧设置一长排柜体，内嵌衣物护理机、并排放置洗衣机及烘干机；长排柜体台面上设置水槽及龙头，柜体内预留折叠抽拉板或活动式烫衣板位置；对面设置小台面，安装壁挂洗衣机；其余空间为储物柜。</w:t>
            </w:r>
          </w:p>
          <w:p>
            <w:pPr>
              <w:numPr>
                <w:ilvl w:val="0"/>
                <w:numId w:val="13"/>
              </w:numPr>
              <w:spacing w:after="60" w:line="259" w:lineRule="auto"/>
            </w:pPr>
            <w:r>
              <w:rPr>
                <w:rFonts w:ascii="Noto Sans SC Export" w:hAnsi="Noto Sans SC Export" w:eastAsia="Noto Sans SC Export"/>
                <w:b w:val="0"/>
                <w:color w:val="A61D8E"/>
                <w:sz w:val="18"/>
              </w:rPr>
              <w:t>卫生间/洗衣区设置到顶柜体，内部配置可放置烫衣板的层架或抽拉结构，实现烫衣板收纳于柜内；柜体上下均设计储物空间以容纳小洗衣机及其他物品。</w:t>
            </w:r>
          </w:p>
          <w:p>
            <w:pPr>
              <w:numPr>
                <w:ilvl w:val="0"/>
                <w:numId w:val="13"/>
              </w:numPr>
              <w:spacing w:after="60" w:line="259" w:lineRule="auto"/>
            </w:pPr>
            <w:r>
              <w:rPr>
                <w:rFonts w:ascii="Noto Sans SC Export" w:hAnsi="Noto Sans SC Export" w:eastAsia="Noto Sans SC Export"/>
                <w:b w:val="0"/>
                <w:color w:val="A61D8E"/>
                <w:sz w:val="18"/>
              </w:rPr>
              <w:t>主卧床头后方设置衣柜，衣帽间入口及卫生间入口设置隐形门，保持墙面视觉整齐；主卧进门北侧做一组柜体；衣帽间北侧靠窗位置设书桌；主卧房门设计为与外侧衣柜门平齐，门扇开启后隐藏于衣柜内部或门洞内，保持立面整体性。</w:t>
            </w:r>
          </w:p>
          <w:p>
            <w:pPr>
              <w:numPr>
                <w:ilvl w:val="0"/>
                <w:numId w:val="13"/>
              </w:numPr>
              <w:spacing w:after="60" w:line="259" w:lineRule="auto"/>
            </w:pPr>
            <w:r>
              <w:rPr>
                <w:rFonts w:ascii="Noto Sans SC Export" w:hAnsi="Noto Sans SC Export" w:eastAsia="Noto Sans SC Export"/>
                <w:b w:val="0"/>
                <w:color w:val="2454A6"/>
                <w:sz w:val="18"/>
              </w:rPr>
              <w:t>该房间设置双面柜体，部分柜门朝向卫生间开启以方便取用毛巾衣物，部分柜门朝向卧室开启；柜体与墙面做平处理。</w:t>
            </w:r>
          </w:p>
          <w:p>
            <w:pPr>
              <w:numPr>
                <w:ilvl w:val="0"/>
                <w:numId w:val="13"/>
              </w:numPr>
              <w:spacing w:after="60" w:line="259" w:lineRule="auto"/>
            </w:pPr>
            <w:r>
              <w:rPr>
                <w:rFonts w:ascii="Noto Sans SC Export" w:hAnsi="Noto Sans SC Export" w:eastAsia="Noto Sans SC Export"/>
                <w:b w:val="0"/>
                <w:color w:val="2454A6"/>
                <w:sz w:val="18"/>
              </w:rPr>
              <w:t>该空间规划为兼具书房功能的衣帽间；靠窗位置设置书桌/工作台；其余墙面设置大量通顶储物柜/衣柜，满足衣物收纳需求；柜体局部做造型或隔断变化，避免满墙单调，不设专门书柜。</w:t>
            </w:r>
          </w:p>
          <w:p>
            <w:pPr>
              <w:spacing w:after="40"/>
              <w:ind w:left="369"/>
            </w:pPr>
            <w:r>
              <w:rPr>
                <w:rFonts w:ascii="Noto Sans SC Export" w:hAnsi="Noto Sans SC Export" w:eastAsia="Noto Sans SC Export"/>
                <w:color w:val="65758F"/>
                <w:sz w:val="15"/>
              </w:rPr>
              <w:t>责任：设计</w:t>
            </w:r>
          </w:p>
          <w:p>
            <w:pPr>
              <w:numPr>
                <w:ilvl w:val="0"/>
                <w:numId w:val="13"/>
              </w:numPr>
              <w:spacing w:after="60" w:line="259" w:lineRule="auto"/>
            </w:pPr>
            <w:r>
              <w:rPr>
                <w:rFonts w:ascii="Noto Sans SC Export" w:hAnsi="Noto Sans SC Export" w:eastAsia="Noto Sans SC Export"/>
                <w:b w:val="0"/>
                <w:color w:val="A61D8E"/>
                <w:sz w:val="18"/>
              </w:rPr>
              <w:t>电视采用壁挂或嵌入式安装，与墙面做平或结合柜体设计，厚度控制在约 20-22 cm；电视背景墙结合楼梯造型进行一体化设计，楼梯半隐于电视墙后方或侧方，扶手结合墙体设计，不单独使用玻璃扶手。</w:t>
            </w:r>
          </w:p>
          <w:p>
            <w:pPr>
              <w:spacing w:after="40"/>
              <w:ind w:left="369"/>
            </w:pPr>
            <w:r>
              <w:rPr>
                <w:rFonts w:ascii="Noto Sans SC Export" w:hAnsi="Noto Sans SC Export" w:eastAsia="Noto Sans SC Export"/>
                <w:color w:val="65758F"/>
                <w:sz w:val="15"/>
              </w:rPr>
              <w:t>责任：设计</w:t>
            </w:r>
          </w:p>
          <w:p>
            <w:pPr>
              <w:numPr>
                <w:ilvl w:val="0"/>
                <w:numId w:val="13"/>
              </w:numPr>
              <w:spacing w:after="60" w:line="259" w:lineRule="auto"/>
            </w:pPr>
            <w:r>
              <w:rPr>
                <w:rFonts w:ascii="Noto Sans SC Export" w:hAnsi="Noto Sans SC Export" w:eastAsia="Noto Sans SC Export"/>
                <w:b w:val="0"/>
                <w:color w:val="2454A6"/>
                <w:sz w:val="18"/>
              </w:rPr>
              <w:t>电梯厅入户门左侧预留鞋柜位置，空间已留出，后期由业主自理安装。</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机电与点位</w:t>
            </w:r>
          </w:p>
        </w:tc>
        <w:tc>
          <w:tcPr>
            <w:tcW w:type="dxa" w:w="9298"/>
            <w:tcMar>
              <w:top w:w="65" w:type="dxa"/>
              <w:start w:w="100" w:type="dxa"/>
              <w:bottom w:w="65" w:type="dxa"/>
              <w:end w:w="100" w:type="dxa"/>
            </w:tcMar>
          </w:tcPr>
          <w:p>
            <w:pPr>
              <w:numPr>
                <w:ilvl w:val="0"/>
                <w:numId w:val="14"/>
              </w:numPr>
              <w:spacing w:after="60" w:line="259" w:lineRule="auto"/>
            </w:pPr>
            <w:r>
              <w:rPr>
                <w:rFonts w:ascii="Noto Sans SC Export" w:hAnsi="Noto Sans SC Export" w:eastAsia="Noto Sans SC Export"/>
                <w:b w:val="0"/>
                <w:color w:val="2454A6"/>
                <w:sz w:val="18"/>
              </w:rPr>
              <w:t>确认房屋排水系统包含雨水管、废水管和污水管；明确污水管（马桶排污）与废水管的区别，污水管不可接入废水管；确认全屋共有5个污水管点位，以电梯井为中轴线呈镜像分布。</w:t>
            </w:r>
          </w:p>
          <w:p>
            <w:pPr>
              <w:numPr>
                <w:ilvl w:val="0"/>
                <w:numId w:val="14"/>
              </w:numPr>
              <w:spacing w:after="60" w:line="259" w:lineRule="auto"/>
            </w:pPr>
            <w:r>
              <w:rPr>
                <w:rFonts w:ascii="Noto Sans SC Export" w:hAnsi="Noto Sans SC Export" w:eastAsia="Noto Sans SC Export"/>
                <w:b w:val="0"/>
                <w:color w:val="2454A6"/>
                <w:sz w:val="18"/>
              </w:rPr>
              <w:t>阳台50mm排水管位置及性质确认无法更改。</w:t>
            </w:r>
          </w:p>
          <w:p>
            <w:pPr>
              <w:numPr>
                <w:ilvl w:val="0"/>
                <w:numId w:val="14"/>
              </w:numPr>
              <w:spacing w:after="60" w:line="259" w:lineRule="auto"/>
            </w:pPr>
            <w:r>
              <w:rPr>
                <w:rFonts w:ascii="Noto Sans SC Export" w:hAnsi="Noto Sans SC Export" w:eastAsia="Noto Sans SC Export"/>
                <w:b w:val="0"/>
                <w:color w:val="A61D8E"/>
                <w:sz w:val="18"/>
              </w:rPr>
              <w:t>主卫设置双台盆，浴缸位于上方靠窗位置；马桶独立设置；取消淋浴房玻璃门，采用无门设计以保持空间清爽及方便使用。</w:t>
            </w:r>
          </w:p>
          <w:p>
            <w:pPr>
              <w:spacing w:after="40"/>
              <w:ind w:left="369"/>
            </w:pPr>
            <w:r>
              <w:rPr>
                <w:rFonts w:ascii="Noto Sans SC Export" w:hAnsi="Noto Sans SC Export" w:eastAsia="Noto Sans SC Export"/>
                <w:color w:val="65758F"/>
                <w:sz w:val="15"/>
              </w:rPr>
              <w:t>责任：设计</w:t>
            </w:r>
          </w:p>
          <w:p>
            <w:pPr>
              <w:numPr>
                <w:ilvl w:val="0"/>
                <w:numId w:val="14"/>
              </w:numPr>
              <w:spacing w:after="60" w:line="259" w:lineRule="auto"/>
            </w:pPr>
            <w:r>
              <w:rPr>
                <w:rFonts w:ascii="Noto Sans SC Export" w:hAnsi="Noto Sans SC Export" w:eastAsia="Noto Sans SC Export"/>
                <w:b w:val="0"/>
                <w:color w:val="A61D8E"/>
                <w:sz w:val="18"/>
              </w:rPr>
              <w:t>主卧卫生间布局调整为横向布置，马桶沿排污管道旁边布置，淋浴区、浴缸及台盆依次排列；若空间尺寸不足，计划将卫生间拐角包入室内以增加面积，多余尺寸调整至房间内部。</w:t>
            </w:r>
          </w:p>
          <w:p>
            <w:pPr>
              <w:numPr>
                <w:ilvl w:val="0"/>
                <w:numId w:val="14"/>
              </w:numPr>
              <w:spacing w:after="60" w:line="259" w:lineRule="auto"/>
            </w:pPr>
            <w:r>
              <w:rPr>
                <w:rFonts w:ascii="Noto Sans SC Export" w:hAnsi="Noto Sans SC Export" w:eastAsia="Noto Sans SC Export"/>
                <w:b w:val="0"/>
                <w:color w:val="A61D8E"/>
                <w:sz w:val="18"/>
              </w:rPr>
              <w:t>卫生间台盆柜宽度调整为90厘米；排水管道采用墙排方式，管道埋入墙体并进行隔音处理，台面下方设置挡板遮挡包管位置。</w:t>
            </w:r>
          </w:p>
          <w:p>
            <w:pPr>
              <w:numPr>
                <w:ilvl w:val="0"/>
                <w:numId w:val="14"/>
              </w:numPr>
              <w:spacing w:after="60" w:line="259" w:lineRule="auto"/>
            </w:pPr>
            <w:r>
              <w:rPr>
                <w:rFonts w:ascii="Noto Sans SC Export" w:hAnsi="Noto Sans SC Export" w:eastAsia="Noto Sans SC Export"/>
                <w:b w:val="0"/>
                <w:color w:val="A61D8E"/>
                <w:sz w:val="18"/>
              </w:rPr>
              <w:t>家政间台盆下方预留扫地机器人上下水点位。</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软装与业主物品</w:t>
            </w:r>
          </w:p>
        </w:tc>
        <w:tc>
          <w:tcPr>
            <w:tcW w:type="dxa" w:w="9298"/>
            <w:tcMar>
              <w:top w:w="65" w:type="dxa"/>
              <w:start w:w="100" w:type="dxa"/>
              <w:bottom w:w="65" w:type="dxa"/>
              <w:end w:w="100" w:type="dxa"/>
            </w:tcMar>
          </w:tcPr>
          <w:p>
            <w:pPr>
              <w:numPr>
                <w:ilvl w:val="0"/>
                <w:numId w:val="15"/>
              </w:numPr>
              <w:spacing w:after="60" w:line="259" w:lineRule="auto"/>
            </w:pPr>
            <w:r>
              <w:rPr>
                <w:rFonts w:ascii="Noto Sans SC Export" w:hAnsi="Noto Sans SC Export" w:eastAsia="Noto Sans SC Export"/>
                <w:b w:val="0"/>
                <w:color w:val="2454A6"/>
                <w:sz w:val="18"/>
              </w:rPr>
              <w:t>主卧进门后先经过睡眠区，床尾结合软装布置；动线延伸至书柜、书桌区域；床头后方设置衣柜，衣柜后方为衣帽间及卫生间入口，形成套房结构。</w:t>
            </w:r>
          </w:p>
          <w:p>
            <w:pPr>
              <w:numPr>
                <w:ilvl w:val="0"/>
                <w:numId w:val="15"/>
              </w:numPr>
              <w:spacing w:after="60" w:line="259" w:lineRule="auto"/>
            </w:pPr>
            <w:r>
              <w:rPr>
                <w:rFonts w:ascii="Noto Sans SC Export" w:hAnsi="Noto Sans SC Export" w:eastAsia="Noto Sans SC Export"/>
                <w:b w:val="0"/>
                <w:color w:val="2454A6"/>
                <w:sz w:val="18"/>
              </w:rPr>
              <w:t>儿童房及次卧床具均选择1.5米宽度，不采用1.8米床，以预留更多活动空间。</w:t>
            </w:r>
          </w:p>
          <w:p>
            <w:pPr>
              <w:spacing w:after="40"/>
              <w:ind w:left="369"/>
            </w:pPr>
            <w:r>
              <w:rPr>
                <w:rFonts w:ascii="Noto Sans SC Export" w:hAnsi="Noto Sans SC Export" w:eastAsia="Noto Sans SC Export"/>
                <w:color w:val="65758F"/>
                <w:sz w:val="15"/>
              </w:rPr>
              <w:t>责任：业主</w:t>
            </w:r>
          </w:p>
          <w:p>
            <w:pPr>
              <w:numPr>
                <w:ilvl w:val="0"/>
                <w:numId w:val="15"/>
              </w:numPr>
              <w:spacing w:after="60" w:line="259" w:lineRule="auto"/>
            </w:pPr>
            <w:r>
              <w:rPr>
                <w:rFonts w:ascii="Noto Sans SC Export" w:hAnsi="Noto Sans SC Export" w:eastAsia="Noto Sans SC Export"/>
                <w:b w:val="0"/>
                <w:color w:val="A61D8E"/>
                <w:sz w:val="18"/>
              </w:rPr>
              <w:t>客厅电视墙采用悬空、透气造型，具有构成感；楼梯半隐于电视墙后方，楼梯下方平台区域留白或作为软装/绿植展示区，避免封闭柜体，以保留儿童活动空间。</w:t>
            </w:r>
          </w:p>
          <w:p>
            <w:pPr>
              <w:spacing w:after="40"/>
              <w:ind w:left="369"/>
            </w:pPr>
            <w:r>
              <w:rPr>
                <w:rFonts w:ascii="Noto Sans SC Export" w:hAnsi="Noto Sans SC Export" w:eastAsia="Noto Sans SC Export"/>
                <w:color w:val="65758F"/>
                <w:sz w:val="15"/>
              </w:rPr>
              <w:t>责任：设计</w:t>
            </w:r>
          </w:p>
          <w:p>
            <w:pPr>
              <w:numPr>
                <w:ilvl w:val="0"/>
                <w:numId w:val="15"/>
              </w:numPr>
              <w:spacing w:after="60" w:line="259" w:lineRule="auto"/>
            </w:pPr>
            <w:r>
              <w:rPr>
                <w:rFonts w:ascii="Noto Sans SC Export" w:hAnsi="Noto Sans SC Export" w:eastAsia="Noto Sans SC Export"/>
                <w:b w:val="0"/>
                <w:color w:val="2454A6"/>
                <w:sz w:val="18"/>
              </w:rPr>
              <w:t>餐椅由业主自行采购，要求选购四把不同款式、具有收藏价值的造型椅，而非统一款式的标准餐椅。</w:t>
            </w:r>
          </w:p>
        </w:tc>
      </w:tr>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8"/>
              </w:rPr>
              <w:t>总体方案</w:t>
            </w:r>
          </w:p>
        </w:tc>
        <w:tc>
          <w:tcPr>
            <w:tcW w:type="dxa" w:w="9298"/>
            <w:tcMar>
              <w:top w:w="65" w:type="dxa"/>
              <w:start w:w="100" w:type="dxa"/>
              <w:bottom w:w="65" w:type="dxa"/>
              <w:end w:w="100" w:type="dxa"/>
            </w:tcMar>
          </w:tcPr>
          <w:p>
            <w:pPr>
              <w:numPr>
                <w:ilvl w:val="0"/>
                <w:numId w:val="16"/>
              </w:numPr>
              <w:spacing w:after="60" w:line="259" w:lineRule="auto"/>
            </w:pPr>
            <w:r>
              <w:rPr>
                <w:rFonts w:ascii="Noto Sans SC Export" w:hAnsi="Noto Sans SC Export" w:eastAsia="Noto Sans SC Export"/>
                <w:b w:val="0"/>
                <w:color w:val="2454A6"/>
                <w:sz w:val="18"/>
              </w:rPr>
              <w:t>全屋采用内建筑手法设计，强调空间秩序、对称性及模数统一（如300/600mm模数），避免非标尺寸造成的视觉杂乱。</w:t>
            </w:r>
          </w:p>
          <w:p>
            <w:pPr>
              <w:spacing w:after="40"/>
              <w:ind w:left="369"/>
            </w:pPr>
            <w:r>
              <w:rPr>
                <w:rFonts w:ascii="Noto Sans SC Export" w:hAnsi="Noto Sans SC Export" w:eastAsia="Noto Sans SC Export"/>
                <w:color w:val="65758F"/>
                <w:sz w:val="15"/>
              </w:rPr>
              <w:t>责任：设计</w:t>
            </w:r>
          </w:p>
        </w:tc>
      </w:tr>
    </w:tbl>
    <w:tbl>
      <w:tblPr>
        <w:tblW w:type="auto" w:w="0"/>
        <w:jc w:val="center"/>
        <w:tblLayout w:type="fixed"/>
        <w:tblLook w:firstColumn="1" w:firstRow="1" w:lastColumn="0" w:lastRow="0" w:noHBand="0" w:noVBand="1" w:val="04A0"/>
        <w:tblBorders>
          <w:top w:val="single" w:sz="5" w:color="8AA4CA"/>
          <w:left w:val="single" w:sz="5" w:color="8AA4CA"/>
          <w:bottom w:val="single" w:sz="5" w:color="8AA4CA"/>
          <w:right w:val="single" w:sz="5" w:color="8AA4CA"/>
          <w:insideH w:val="single" w:sz="5" w:color="8AA4CA"/>
          <w:insideV w:val="single" w:sz="5" w:color="8AA4CA"/>
        </w:tblBorders>
      </w:tblPr>
      <w:tblGrid>
        <w:gridCol w:w="1361"/>
        <w:gridCol w:w="9298"/>
      </w:tblGrid>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行动项</w:t>
            </w:r>
          </w:p>
        </w:tc>
        <w:tc>
          <w:tcPr>
            <w:tcW w:type="dxa" w:w="9298"/>
            <w:tcMar>
              <w:top w:w="65" w:type="dxa"/>
              <w:start w:w="100" w:type="dxa"/>
              <w:bottom w:w="65" w:type="dxa"/>
              <w:end w:w="100" w:type="dxa"/>
            </w:tcMar>
          </w:tcPr>
          <w:p>
            <w:pPr>
              <w:numPr>
                <w:ilvl w:val="0"/>
                <w:numId w:val="17"/>
              </w:numPr>
              <w:spacing w:after="60"/>
            </w:pPr>
            <w:r>
              <w:rPr>
                <w:rFonts w:ascii="Noto Sans SC Export" w:hAnsi="Noto Sans SC Export" w:eastAsia="Noto Sans SC Export"/>
                <w:b w:val="0"/>
                <w:color w:val="2454A6"/>
                <w:sz w:val="18"/>
              </w:rPr>
              <w:t>客户将委托丹麦设计师朋友出具一稿平面布局方案并发送至群内，供设计团队参考。</w:t>
            </w:r>
          </w:p>
          <w:p>
            <w:pPr>
              <w:numPr>
                <w:ilvl w:val="0"/>
                <w:numId w:val="17"/>
              </w:numPr>
              <w:spacing w:after="60"/>
            </w:pPr>
            <w:r>
              <w:rPr>
                <w:rFonts w:ascii="Noto Sans SC Export" w:hAnsi="Noto Sans SC Export" w:eastAsia="Noto Sans SC Export"/>
                <w:b w:val="0"/>
                <w:color w:val="2454A6"/>
                <w:sz w:val="18"/>
              </w:rPr>
              <w:t>设计方需提供两版对比平面布局方案（含CAD精确尺寸及PDF），重点体现：1.客厅电视墙与楼梯结合、厨房岛台尺寸调整及中厨西厨分区；2.卫生间不同排布（竖长条/横向、马桶移位、管道包覆）及主卧干湿分离、房门与衣柜平齐细节。图纸需明确标注柜体区域、挂衣架位置及方案编号。</w:t>
            </w:r>
            <w:r>
              <w:rPr>
                <w:rFonts w:ascii="Noto Sans SC Export" w:hAnsi="Noto Sans SC Export" w:eastAsia="Noto Sans SC Export"/>
                <w:color w:val="65758F"/>
                <w:sz w:val="16"/>
              </w:rPr>
              <w:t>；责任：设计</w:t>
            </w:r>
          </w:p>
          <w:p>
            <w:pPr>
              <w:numPr>
                <w:ilvl w:val="0"/>
                <w:numId w:val="17"/>
              </w:numPr>
              <w:spacing w:after="60"/>
            </w:pPr>
            <w:r>
              <w:rPr>
                <w:rFonts w:ascii="Noto Sans SC Export" w:hAnsi="Noto Sans SC Export" w:eastAsia="Noto Sans SC Export"/>
                <w:b w:val="0"/>
                <w:color w:val="2454A6"/>
                <w:sz w:val="18"/>
              </w:rPr>
              <w:t>设计方需提供楼梯结合电视墙案例图片、国外设计师漫游动画视频、调整后的楼梯排布截图、CAD图纸及PDF文件至群聊；后续需提供精致三维模型（非视频）用于详细沟通。</w:t>
            </w:r>
            <w:r>
              <w:rPr>
                <w:rFonts w:ascii="Noto Sans SC Export" w:hAnsi="Noto Sans SC Export" w:eastAsia="Noto Sans SC Export"/>
                <w:color w:val="65758F"/>
                <w:sz w:val="16"/>
              </w:rPr>
              <w:t>；责任：设计</w:t>
            </w:r>
          </w:p>
          <w:p>
            <w:pPr>
              <w:numPr>
                <w:ilvl w:val="0"/>
                <w:numId w:val="17"/>
              </w:numPr>
              <w:spacing w:after="60"/>
            </w:pPr>
            <w:r>
              <w:rPr>
                <w:rFonts w:ascii="Noto Sans SC Export" w:hAnsi="Noto Sans SC Export" w:eastAsia="Noto Sans SC Export"/>
                <w:b w:val="0"/>
                <w:color w:val="2454A6"/>
                <w:sz w:val="18"/>
              </w:rPr>
              <w:t>设计方将CAD图纸、PDF文件及沟通纪要上传至小程序并发送至群内，供业主签字确认。</w:t>
            </w:r>
            <w:r>
              <w:rPr>
                <w:rFonts w:ascii="Noto Sans SC Export" w:hAnsi="Noto Sans SC Export" w:eastAsia="Noto Sans SC Export"/>
                <w:color w:val="65758F"/>
                <w:sz w:val="16"/>
              </w:rPr>
              <w:t>；责任：设计</w:t>
            </w:r>
          </w:p>
          <w:p>
            <w:pPr>
              <w:numPr>
                <w:ilvl w:val="0"/>
                <w:numId w:val="17"/>
              </w:numPr>
              <w:spacing w:after="60"/>
            </w:pPr>
            <w:r>
              <w:rPr>
                <w:rFonts w:ascii="Noto Sans SC Export" w:hAnsi="Noto Sans SC Export" w:eastAsia="Noto Sans SC Export"/>
                <w:b w:val="0"/>
                <w:color w:val="2454A6"/>
                <w:sz w:val="18"/>
              </w:rPr>
              <w:t>双方约定前往现场进行尺寸复核及空间感受确认，重点复核客厅宽度（约4.6-5米）、楼梯位置、二层房间与楼梯交通关系、冰箱位置及尺寸；设计师需联系立伟申请权限并准备安全帽。</w:t>
            </w:r>
            <w:r>
              <w:rPr>
                <w:rFonts w:ascii="Noto Sans SC Export" w:hAnsi="Noto Sans SC Export" w:eastAsia="Noto Sans SC Export"/>
                <w:color w:val="65758F"/>
                <w:sz w:val="16"/>
              </w:rPr>
              <w:t>；责任：设计</w:t>
            </w:r>
          </w:p>
          <w:p>
            <w:pPr>
              <w:numPr>
                <w:ilvl w:val="0"/>
                <w:numId w:val="17"/>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阳台区域现有50管（生活排水）是否可改造为墙排或增加排污功能，以支持设置卫生间或洗衣区。</w:t>
            </w:r>
            <w:r>
              <w:rPr>
                <w:rFonts w:ascii="Noto Sans SC Export" w:hAnsi="Noto Sans SC Export" w:eastAsia="Noto Sans SC Export"/>
                <w:color w:val="65758F"/>
                <w:sz w:val="16"/>
              </w:rPr>
              <w:t>；责任：设计</w:t>
            </w:r>
          </w:p>
          <w:p>
            <w:pPr>
              <w:numPr>
                <w:ilvl w:val="0"/>
                <w:numId w:val="17"/>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楼梯踏步数量及高度，当前估算单踏高度232mm偏高，需增加踏步数以满足规范及舒适度要求。</w:t>
            </w:r>
            <w:r>
              <w:rPr>
                <w:rFonts w:ascii="Noto Sans SC Export" w:hAnsi="Noto Sans SC Export" w:eastAsia="Noto Sans SC Export"/>
                <w:color w:val="65758F"/>
                <w:sz w:val="16"/>
              </w:rPr>
              <w:t>；责任：设计</w:t>
            </w:r>
          </w:p>
          <w:p>
            <w:pPr>
              <w:numPr>
                <w:ilvl w:val="0"/>
                <w:numId w:val="17"/>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南北卫生间调整后，马桶背靠背布置的排水可行性及管道井位置影响。</w:t>
            </w:r>
          </w:p>
          <w:p>
            <w:pPr>
              <w:numPr>
                <w:ilvl w:val="0"/>
                <w:numId w:val="17"/>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露台木地板下方框体结构是否设有排水口，以及护栏安装脚部防水密封处理方案。</w:t>
            </w:r>
          </w:p>
        </w:tc>
      </w:tr>
    </w:tbl>
    <w:tbl>
      <w:tblPr>
        <w:tblW w:type="auto" w:w="0"/>
        <w:jc w:val="center"/>
        <w:tblLayout w:type="fixed"/>
        <w:tblLook w:firstColumn="1" w:firstRow="1" w:lastColumn="0" w:lastRow="0" w:noHBand="0" w:noVBand="1" w:val="04A0"/>
        <w:tblBorders>
          <w:top w:val="single" w:sz="5" w:color="8AA4CA"/>
          <w:left w:val="single" w:sz="5" w:color="8AA4CA"/>
          <w:bottom w:val="single" w:sz="5" w:color="8AA4CA"/>
          <w:right w:val="single" w:sz="5" w:color="8AA4CA"/>
          <w:insideH w:val="single" w:sz="5" w:color="8AA4CA"/>
          <w:insideV w:val="single" w:sz="5" w:color="8AA4CA"/>
        </w:tblBorders>
      </w:tblPr>
      <w:tblGrid>
        <w:gridCol w:w="1361"/>
        <w:gridCol w:w="9298"/>
      </w:tblGrid>
      <w:tr>
        <w:tc>
          <w:tcPr>
            <w:tcW w:type="dxa" w:w="1361"/>
            <w:shd w:fill="F1F6FD"/>
            <w:tcMar>
              <w:top w:w="70" w:type="dxa"/>
              <w:start w:w="90" w:type="dxa"/>
              <w:bottom w:w="70" w:type="dxa"/>
              <w:end w:w="90" w:type="dxa"/>
            </w:tcMar>
            <w:vAlign w:val="center"/>
          </w:tcPr>
          <w:p>
            <w:pPr>
              <w:spacing w:before="30" w:after="30"/>
              <w:jc w:val="center"/>
            </w:pPr>
            <w:r>
              <w:rPr>
                <w:rFonts w:ascii="Noto Sans SC Export" w:hAnsi="Noto Sans SC Export" w:eastAsia="Noto Sans SC Export"/>
                <w:b/>
                <w:color w:val="173B7A"/>
                <w:sz w:val="19"/>
              </w:rPr>
              <w:t>待确认事项</w:t>
            </w:r>
          </w:p>
        </w:tc>
        <w:tc>
          <w:tcPr>
            <w:tcW w:type="dxa" w:w="9298"/>
            <w:tcMar>
              <w:top w:w="65" w:type="dxa"/>
              <w:start w:w="100" w:type="dxa"/>
              <w:bottom w:w="65" w:type="dxa"/>
              <w:end w:w="100" w:type="dxa"/>
            </w:tcMar>
          </w:tcPr>
          <w:p>
            <w:pPr>
              <w:numPr>
                <w:ilvl w:val="0"/>
                <w:numId w:val="18"/>
              </w:numPr>
              <w:spacing w:after="60"/>
            </w:pPr>
            <w:r>
              <w:rPr>
                <w:rFonts w:ascii="Noto Sans SC Export" w:hAnsi="Noto Sans SC Export" w:eastAsia="Noto Sans SC Export"/>
                <w:b w:val="0"/>
                <w:color w:val="2454A6"/>
                <w:sz w:val="18"/>
              </w:rPr>
              <w:t>厨房岛台位置调整，靠近厨房操作区，形成G字形布局；厨房墙体向内收缩，但保留充足柜体收纳。</w:t>
            </w: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：为满足燃气规范（密闭空间且大于5平米），中厨区域建议设置推拉门或隔断；外部区域作为西厨/餐边柜功能区，岛台外移以增强通透性。</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保姆间位于电梯井东侧，东侧墙体向主卫方向挪动，保证房间净宽2米，深度2.38米。</w:t>
            </w: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：内部放置一张保姆床，保留1米宽过道；该空间也可作为储藏室使用，具体功能待定。</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：倾向在原有阳台区域隔出一半空间新增一个小卫生间，形成一南一北两个卫生间布局，以解决房间共用卫生间不便的问题。</w:t>
            </w:r>
          </w:p>
          <w:p>
            <w:pPr>
              <w:numPr>
                <w:ilvl w:val="0"/>
                <w:numId w:val="18"/>
              </w:numPr>
              <w:spacing w:after="60"/>
            </w:pPr>
            <w:r>
              <w:rPr>
                <w:rFonts w:ascii="Noto Sans SC Export" w:hAnsi="Noto Sans SC Export" w:eastAsia="Noto Sans SC Export"/>
                <w:b w:val="0"/>
                <w:color w:val="2454A6"/>
                <w:sz w:val="18"/>
              </w:rPr>
              <w:t>参考案例中厨房采用C字形布局，位于他人卫生间下方；餐厅上方搭建小夹层作为活动室/棋牌室，通过圆弧楼梯连接。</w:t>
            </w:r>
          </w:p>
          <w:p>
            <w:pPr>
              <w:numPr>
                <w:ilvl w:val="0"/>
                <w:numId w:val="18"/>
              </w:numPr>
              <w:spacing w:after="60"/>
            </w:pPr>
            <w:r>
              <w:rPr>
                <w:rFonts w:ascii="Noto Sans SC Export" w:hAnsi="Noto Sans SC Export" w:eastAsia="Noto Sans SC Export"/>
                <w:b w:val="0"/>
                <w:color w:val="2454A6"/>
                <w:sz w:val="18"/>
              </w:rPr>
              <w:t>设计建议：调整卫生间与相邻房间的隔墙位置，将墙体拉直并与柱子取齐，以扩大房间可用宽度至约2米，便于放置床铺；卫生间内部重新划分淋浴与马桶区。</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：主卫生间最终平面布局及洁具位置。目前存在两种方案倾向：1. 台盆、马桶、淋浴一长条排列，包管平齐，淋浴房内置壁龛；2. 马桶隐蔽处理，淋浴竖放。同时需确认洗手台盆是否移位以优化进门动线，若移位导致原后方小空间无法利用则予以封闭，入口处设置端景。</w:t>
            </w:r>
          </w:p>
          <w:p>
            <w:pPr>
              <w:numPr>
                <w:ilvl w:val="0"/>
                <w:numId w:val="18"/>
              </w:numPr>
              <w:spacing w:after="60"/>
            </w:pPr>
            <w:r>
              <w:rPr>
                <w:rFonts w:ascii="Noto Sans SC Export" w:hAnsi="Noto Sans SC Export" w:eastAsia="Noto Sans SC Export"/>
                <w:b w:val="0"/>
                <w:color w:val="2454A6"/>
                <w:sz w:val="18"/>
              </w:rPr>
              <w:t>设计建议：保姆间进门设缓冲区域，床靠墙放置，另一侧设衣柜空间。</w:t>
            </w:r>
          </w:p>
          <w:p>
            <w:pPr>
              <w:numPr>
                <w:ilvl w:val="0"/>
                <w:numId w:val="18"/>
              </w:numPr>
              <w:spacing w:after="60"/>
            </w:pPr>
            <w:r>
              <w:rPr>
                <w:rFonts w:ascii="Noto Sans SC Export" w:hAnsi="Noto Sans SC Export" w:eastAsia="Noto Sans SC Export"/>
                <w:b w:val="0"/>
                <w:color w:val="2454A6"/>
                <w:sz w:val="18"/>
              </w:rPr>
              <w:t>客户将委托丹麦设计师朋友出具一稿平面布局方案并发送至群内，供设计团队参考。</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阳台区域现有50管（生活排水）是否可改造为墙排或增加排污功能，以支持设置卫生间或洗衣区。</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楼梯踏步数量及高度，当前估算单踏高度232mm偏高，需增加踏步数以满足规范及舒适度要求。</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南北卫生间调整后，马桶背靠背布置的排水可行性及管道井位置影响。</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露台木地板下方框体结构是否设有排水口，以及护栏安装脚部防水密封处理方案。</w:t>
            </w:r>
          </w:p>
          <w:p>
            <w:pPr>
              <w:numPr>
                <w:ilvl w:val="0"/>
                <w:numId w:val="18"/>
              </w:numPr>
              <w:spacing w:after="60"/>
            </w:pPr>
            <w:r>
              <w:rPr>
                <w:rFonts w:ascii="Noto Sans SC Export" w:hAnsi="Noto Sans SC Export" w:eastAsia="Noto Sans SC Export"/>
                <w:b w:val="0"/>
                <w:color w:val="2454A6"/>
                <w:sz w:val="18"/>
              </w:rPr>
              <w:t>墙面倾向于去装饰化、空间纯净风格，避免高光地砖及复杂灯带反射效果；木饰面选择实木贴皮或显纹肌理感材料，避免肤感膜封闭漆面；建议采用白色简化法式线条作为顶面与墙面的延续。</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其他房间门洞建议采用隐形门设计以保持墙面平整；保姆间门考虑外开隐形门以节省内部空间；主卧衣帽间及卫生间入口门型待定。</w:t>
            </w:r>
          </w:p>
          <w:p>
            <w:pPr>
              <w:numPr>
                <w:ilvl w:val="0"/>
                <w:numId w:val="18"/>
              </w:numPr>
              <w:spacing w:after="60"/>
            </w:pPr>
            <w:r>
              <w:rPr>
                <w:rFonts w:ascii="Noto Sans SC Export" w:hAnsi="Noto Sans SC Export" w:eastAsia="Noto Sans SC Export"/>
                <w:b w:val="0"/>
                <w:color w:val="2454A6"/>
                <w:sz w:val="18"/>
              </w:rPr>
              <w:t>厨房岛台及台面材质倾向于仿真木纹板材（如海洋板贴皮）或岩板；相关木作饰面参考烟熏橡木纹理，追求微法实木贴皮质感。</w:t>
            </w:r>
          </w:p>
          <w:p>
            <w:pPr>
              <w:numPr>
                <w:ilvl w:val="0"/>
                <w:numId w:val="18"/>
              </w:numPr>
              <w:spacing w:after="60"/>
            </w:pPr>
            <w:r>
              <w:rPr>
                <w:rFonts w:ascii="Noto Sans SC Export" w:hAnsi="Noto Sans SC Export" w:eastAsia="Noto Sans SC Export"/>
                <w:b w:val="0"/>
                <w:color w:val="2454A6"/>
                <w:sz w:val="18"/>
              </w:rPr>
              <w:t>卫生间浴缸、台盆考虑采用整块荒石挖掘成型的大理石制品，强调自然石材元素。</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：全屋定制品牌选择。设计方提及温德莱（进口产品线）及喂奶达（国产），可提供工程折扣价协助服务，业主尚未最终决定品牌。</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：客户咨询若取消部分标配材料（如岩板上墙）或更换品牌，是否可减免相应费用。</w:t>
            </w:r>
            <w:r>
              <w:rPr>
                <w:rFonts w:ascii="Noto Sans SC Export" w:hAnsi="Noto Sans SC Export" w:eastAsia="Noto Sans SC Export"/>
                <w:color w:val="65758F"/>
                <w:sz w:val="16"/>
              </w:rPr>
              <w:t>；责任：营销</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：冰箱品牌（利勃海尔/博世/卡萨帝）、类型（全嵌入式/大双开明装式）及具体尺寸；位置预留于厨房高柜区或水吧柜旁。</w:t>
            </w:r>
            <w:r>
              <w:rPr>
                <w:rFonts w:ascii="Noto Sans SC Export" w:hAnsi="Noto Sans SC Export" w:eastAsia="Noto Sans SC Export"/>
                <w:color w:val="65758F"/>
                <w:sz w:val="16"/>
              </w:rPr>
              <w:t>；责任：业主</w:t>
            </w:r>
          </w:p>
          <w:p>
            <w:pPr>
              <w:numPr>
                <w:ilvl w:val="0"/>
                <w:numId w:val="18"/>
              </w:numPr>
              <w:spacing w:after="60"/>
            </w:pPr>
            <w:r>
              <w:rPr>
                <w:rFonts w:ascii="Noto Sans SC Export" w:hAnsi="Noto Sans SC Export" w:eastAsia="Noto Sans SC Export"/>
                <w:b w:val="0"/>
                <w:color w:val="2454A6"/>
                <w:sz w:val="18"/>
              </w:rPr>
              <w:t>厨房取消传统吊柜配置，改为层板或开放式收纳，用于摆放罐子、杯子等摆件。</w:t>
            </w:r>
          </w:p>
          <w:p>
            <w:pPr>
              <w:numPr>
                <w:ilvl w:val="0"/>
                <w:numId w:val="18"/>
              </w:numPr>
              <w:spacing w:after="60"/>
            </w:pPr>
            <w:r>
              <w:rPr>
                <w:rFonts w:ascii="Noto Sans SC Export" w:hAnsi="Noto Sans SC Export" w:eastAsia="Noto Sans SC Export"/>
                <w:b w:val="0"/>
                <w:color w:val="2454A6"/>
                <w:sz w:val="18"/>
              </w:rPr>
              <w:t>新增扫地机器人及壁挂洗衣机专用柜体/台面，需预留设备放置空间及水电接口。</w:t>
            </w:r>
          </w:p>
          <w:p>
            <w:pPr>
              <w:numPr>
                <w:ilvl w:val="0"/>
                <w:numId w:val="18"/>
              </w:numPr>
              <w:spacing w:after="60"/>
            </w:pPr>
            <w:r>
              <w:rPr>
                <w:rFonts w:ascii="Noto Sans SC Export" w:hAnsi="Noto Sans SC Export" w:eastAsia="Noto Sans SC Export"/>
                <w:b w:val="0"/>
                <w:color w:val="2454A6"/>
                <w:sz w:val="18"/>
              </w:rPr>
              <w:t>儿童房靠窗位置设置写字台及书架，优化进入房间的动线。</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val="0"/>
                <w:color w:val="2454A6"/>
                <w:sz w:val="18"/>
              </w:rPr>
              <w:t>墙面系统考虑采用“无墙之家”概念，将门、柜体与护墙板融合，使用实木或木饰面统一墙面视觉效果，隐藏收纳功能。</w:t>
            </w:r>
          </w:p>
          <w:p>
            <w:pPr>
              <w:numPr>
                <w:ilvl w:val="0"/>
                <w:numId w:val="18"/>
              </w:numPr>
              <w:spacing w:after="60"/>
            </w:pPr>
            <w:r>
              <w:rPr>
                <w:rFonts w:ascii="Noto Sans SC Export" w:hAnsi="Noto Sans SC Export" w:eastAsia="Noto Sans SC Export"/>
                <w:b w:val="0"/>
                <w:color w:val="2454A6"/>
                <w:sz w:val="18"/>
              </w:rPr>
              <w:t>负2楼至负1楼通高书架隔断考虑使用黑色系玻璃移门或折叠门，五金需具备丝滑开合体验。</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：家政间内需预留洗衣机位及台盆水池点位；主卫排污管位置已定，淋浴、台盆及浴缸属于生活用水系统，需结合厨房排水路径综合排布。</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取消在楼梯下方或电视墙附近设置水吧柜及咖啡机上下水点位的方案；客户认为该位置操作不便且影响空间通透性，倾向于将水吧功能整合至其他更顺手区域（如厨房或餐厅延伸区），具体位置待后续平面确认。</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：电梯厅墙面电源位置附近新开孔洞，连接至电梯井道内部利用现有气孔进行排气；需确认开孔尺寸及物业允许性。</w:t>
            </w:r>
          </w:p>
          <w:p>
            <w:pPr>
              <w:numPr>
                <w:ilvl w:val="0"/>
                <w:numId w:val="18"/>
              </w:numPr>
              <w:spacing w:after="60"/>
            </w:pPr>
            <w:r>
              <w:rPr>
                <w:rFonts w:ascii="Noto Sans SC Export" w:hAnsi="Noto Sans SC Export" w:eastAsia="Noto Sans SC Export"/>
                <w:b w:val="0"/>
                <w:color w:val="2454A6"/>
                <w:sz w:val="18"/>
              </w:rPr>
              <w:t>设计建议：卫生间内马桶与淋浴区尽量布置在同一方向或相邻区域，避免马桶正对淋浴或位于动线冲突位置，以提升使用舒适度。</w:t>
            </w:r>
            <w:r>
              <w:rPr>
                <w:rFonts w:ascii="Noto Sans SC Export" w:hAnsi="Noto Sans SC Export" w:eastAsia="Noto Sans SC Export"/>
                <w:color w:val="65758F"/>
                <w:sz w:val="16"/>
              </w:rPr>
              <w:t>；责任：设计</w:t>
            </w:r>
          </w:p>
          <w:p>
            <w:pPr>
              <w:numPr>
                <w:ilvl w:val="0"/>
                <w:numId w:val="18"/>
              </w:numPr>
              <w:spacing w:after="60"/>
            </w:pPr>
            <w:r>
              <w:rPr>
                <w:rFonts w:ascii="Noto Sans SC Export" w:hAnsi="Noto Sans SC Export" w:eastAsia="Noto Sans SC Export"/>
                <w:b/>
                <w:color w:val="C54B00"/>
                <w:sz w:val="18"/>
                <w:shd w:fill="FFF1D6"/>
              </w:rPr>
              <w:t>待确认</w:t>
            </w:r>
            <w:r>
              <w:rPr>
                <w:rFonts w:ascii="Noto Sans SC Export" w:hAnsi="Noto Sans SC Export" w:eastAsia="Noto Sans SC Export"/>
                <w:b w:val="0"/>
                <w:color w:val="2454A6"/>
                <w:sz w:val="18"/>
              </w:rPr>
              <w:t>：客厅区域是放置沙发还是长桌作为主要活动区；若放置长桌，需考虑从厨房到餐桌的动线长度及岛台尺寸匹配问题。</w:t>
            </w:r>
            <w:r>
              <w:rPr>
                <w:rFonts w:ascii="Noto Sans SC Export" w:hAnsi="Noto Sans SC Export" w:eastAsia="Noto Sans SC Export"/>
                <w:color w:val="65758F"/>
                <w:sz w:val="16"/>
              </w:rPr>
              <w:t>；责任：业主</w:t>
            </w:r>
          </w:p>
          <w:p>
            <w:pPr>
              <w:numPr>
                <w:ilvl w:val="0"/>
                <w:numId w:val="18"/>
              </w:numPr>
              <w:spacing w:after="60"/>
            </w:pPr>
            <w:r>
              <w:rPr>
                <w:rFonts w:ascii="Noto Sans SC Export" w:hAnsi="Noto Sans SC Export" w:eastAsia="Noto Sans SC Export"/>
                <w:b w:val="0"/>
                <w:color w:val="2454A6"/>
                <w:sz w:val="18"/>
              </w:rPr>
              <w:t>设计建议：客厅中央管道井及结构柱采用造型墙或金属围合方式包裹，设计为类似壁炉或岛屿的造型，沙发围绕布置。</w:t>
            </w:r>
          </w:p>
          <w:p>
            <w:pPr>
              <w:numPr>
                <w:ilvl w:val="0"/>
                <w:numId w:val="18"/>
              </w:numPr>
              <w:spacing w:after="60"/>
            </w:pPr>
            <w:r>
              <w:rPr>
                <w:rFonts w:ascii="Noto Sans SC Export" w:hAnsi="Noto Sans SC Export" w:eastAsia="Noto Sans SC Export"/>
                <w:b w:val="0"/>
                <w:color w:val="2454A6"/>
                <w:sz w:val="18"/>
              </w:rPr>
              <w:t>设计建议：软装参考Liaigre风格，采用风化木饰面、白色亚麻布料等材质，营造休闲松弛且具质感的氛围。</w:t>
            </w:r>
          </w:p>
          <w:p>
            <w:pPr>
              <w:numPr>
                <w:ilvl w:val="0"/>
                <w:numId w:val="18"/>
              </w:numPr>
              <w:spacing w:after="60"/>
            </w:pPr>
            <w:r>
              <w:rPr>
                <w:rFonts w:ascii="Noto Sans SC Export" w:hAnsi="Noto Sans SC Export" w:eastAsia="Noto Sans SC Export"/>
                <w:b w:val="0"/>
                <w:color w:val="2454A6"/>
                <w:sz w:val="18"/>
              </w:rPr>
              <w:t>设计建议：主卫入口处设置端景，用于摆放花艺、绿植或造型小物，具体物品业主自理。</w:t>
            </w:r>
          </w:p>
        </w:tc>
      </w:tr>
    </w:tbl>
    <w:p>
      <w:pPr>
        <w:spacing w:before="100"/>
        <w:jc w:val="center"/>
      </w:pPr>
      <w:r>
        <w:rPr>
          <w:rFonts w:ascii="Noto Sans SC Export" w:hAnsi="Noto Sans SC Export" w:eastAsia="Noto Sans SC Export"/>
          <w:color w:val="65758F"/>
          <w:sz w:val="15"/>
        </w:rPr>
        <w:t>正式转写证据 0 段 · 生成时间 2026-07-31 14:53:33 · 版本 V2</w:t>
      </w:r>
    </w:p>
    <w:sectPr w:rsidR="00FC693F" w:rsidRPr="0006063C" w:rsidSect="00034616">
      <w:footerReference w:type="default" r:id="rId9"/>
      <w:pgSz w:w="11906" w:h="16838"/>
      <w:pgMar w:top="567" w:right="567" w:bottom="680" w:left="567" w:header="227"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SC Export" w:hAnsi="Noto Sans SC Export" w:eastAsia="Noto Sans SC Export"/>
        <w:color w:val="65758F"/>
        <w:sz w:val="16"/>
      </w:rPr>
      <w:t xml:space="preserve">g50-5-501 · 定制化沟通记录表 · V2 · 第 </w:t>
    </w:r>
    <w:fldSimple w:instr="PAGE"/>
    <w:r>
      <w:rPr>
        <w:rFonts w:ascii="Noto Sans SC Export" w:hAnsi="Noto Sans SC Export" w:eastAsia="Noto Sans SC Export"/>
        <w:color w:val="65758F"/>
        <w:sz w:val="16"/>
      </w:rPr>
      <w:t xml:space="preserve"> 页</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suff w:val="space"/>
      <w:pPr>
        <w:tabs>
          <w:tab w:val="num" w:pos="360"/>
        </w:tabs>
        <w:ind w:left="360" w:hanging="260"/>
      </w:pPr>
    </w:lvl>
  </w:abstractNum>
  <w:num w:numId="10">
    <w:abstractNumId w:val="9"/>
  </w:num>
  <w:abstractNum w:abstractNumId="10">
    <w:multiLevelType w:val="singleLevel"/>
    <w:lvl w:ilvl="0">
      <w:start w:val="1"/>
      <w:numFmt w:val="decimal"/>
      <w:lvlText w:val="%1."/>
      <w:suff w:val="space"/>
      <w:pPr>
        <w:tabs>
          <w:tab w:val="num" w:pos="360"/>
        </w:tabs>
        <w:ind w:left="360" w:hanging="260"/>
      </w:pPr>
    </w:lvl>
  </w:abstractNum>
  <w:num w:numId="11">
    <w:abstractNumId w:val="10"/>
  </w:num>
  <w:abstractNum w:abstractNumId="11">
    <w:multiLevelType w:val="singleLevel"/>
    <w:lvl w:ilvl="0">
      <w:start w:val="1"/>
      <w:numFmt w:val="decimal"/>
      <w:lvlText w:val="%1."/>
      <w:suff w:val="space"/>
      <w:pPr>
        <w:tabs>
          <w:tab w:val="num" w:pos="360"/>
        </w:tabs>
        <w:ind w:left="360" w:hanging="260"/>
      </w:pPr>
    </w:lvl>
  </w:abstractNum>
  <w:num w:numId="12">
    <w:abstractNumId w:val="11"/>
  </w:num>
  <w:abstractNum w:abstractNumId="12">
    <w:multiLevelType w:val="singleLevel"/>
    <w:lvl w:ilvl="0">
      <w:start w:val="1"/>
      <w:numFmt w:val="decimal"/>
      <w:lvlText w:val="%1."/>
      <w:suff w:val="space"/>
      <w:pPr>
        <w:tabs>
          <w:tab w:val="num" w:pos="360"/>
        </w:tabs>
        <w:ind w:left="360" w:hanging="260"/>
      </w:pPr>
    </w:lvl>
  </w:abstractNum>
  <w:num w:numId="13">
    <w:abstractNumId w:val="12"/>
  </w:num>
  <w:abstractNum w:abstractNumId="13">
    <w:multiLevelType w:val="singleLevel"/>
    <w:lvl w:ilvl="0">
      <w:start w:val="1"/>
      <w:numFmt w:val="decimal"/>
      <w:lvlText w:val="%1."/>
      <w:suff w:val="space"/>
      <w:pPr>
        <w:tabs>
          <w:tab w:val="num" w:pos="360"/>
        </w:tabs>
        <w:ind w:left="360" w:hanging="260"/>
      </w:pPr>
    </w:lvl>
  </w:abstractNum>
  <w:num w:numId="14">
    <w:abstractNumId w:val="13"/>
  </w:num>
  <w:abstractNum w:abstractNumId="14">
    <w:multiLevelType w:val="singleLevel"/>
    <w:lvl w:ilvl="0">
      <w:start w:val="1"/>
      <w:numFmt w:val="decimal"/>
      <w:lvlText w:val="%1."/>
      <w:suff w:val="space"/>
      <w:pPr>
        <w:tabs>
          <w:tab w:val="num" w:pos="360"/>
        </w:tabs>
        <w:ind w:left="360" w:hanging="260"/>
      </w:pPr>
    </w:lvl>
  </w:abstractNum>
  <w:num w:numId="15">
    <w:abstractNumId w:val="14"/>
  </w:num>
  <w:abstractNum w:abstractNumId="15">
    <w:multiLevelType w:val="singleLevel"/>
    <w:lvl w:ilvl="0">
      <w:start w:val="1"/>
      <w:numFmt w:val="decimal"/>
      <w:lvlText w:val="%1."/>
      <w:suff w:val="space"/>
      <w:pPr>
        <w:tabs>
          <w:tab w:val="num" w:pos="360"/>
        </w:tabs>
        <w:ind w:left="360" w:hanging="260"/>
      </w:pPr>
    </w:lvl>
  </w:abstractNum>
  <w:num w:numId="16">
    <w:abstractNumId w:val="15"/>
  </w:num>
  <w:abstractNum w:abstractNumId="16">
    <w:multiLevelType w:val="singleLevel"/>
    <w:lvl w:ilvl="0">
      <w:start w:val="1"/>
      <w:numFmt w:val="decimal"/>
      <w:lvlText w:val="%1."/>
      <w:suff w:val="space"/>
      <w:pPr>
        <w:tabs>
          <w:tab w:val="num" w:pos="360"/>
        </w:tabs>
        <w:ind w:left="360" w:hanging="260"/>
      </w:pPr>
    </w:lvl>
  </w:abstractNum>
  <w:num w:numId="17">
    <w:abstractNumId w:val="16"/>
  </w:num>
  <w:abstractNum w:abstractNumId="17">
    <w:multiLevelType w:val="singleLevel"/>
    <w:lvl w:ilvl="0">
      <w:start w:val="1"/>
      <w:numFmt w:val="decimal"/>
      <w:lvlText w:val="%1."/>
      <w:suff w:val="space"/>
      <w:pPr>
        <w:tabs>
          <w:tab w:val="num" w:pos="360"/>
        </w:tabs>
        <w:ind w:left="360" w:hanging="260"/>
      </w:pPr>
    </w:lvl>
  </w:abstract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64" w:lineRule="auto"/>
    </w:pPr>
    <w:rPr>
      <w:rFonts w:ascii="Noto Sans SC Export" w:hAnsi="Noto Sans SC Export" w:eastAsia="Noto Sans SC Export"/>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g50-5-501 · 定制化沟通记录表</dc:title>
  <dc:subject>中堃定制化沟通记录表</dc:subject>
  <dc:creator>中堃会议纪要系统</dc:creator>
  <cp:keywords/>
  <dc:description>generated by python-docx</dc:description>
  <cp:lastModifiedBy>中堃会议纪要系统</cp:lastModifiedBy>
  <cp:revision>1</cp:revision>
  <dcterms:created xsi:type="dcterms:W3CDTF">2013-12-23T23:15:00Z</dcterms:created>
  <dcterms:modified xsi:type="dcterms:W3CDTF">2013-12-23T23:15:00Z</dcterms:modified>
  <cp:category/>
</cp:coreProperties>
</file>