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8" w:color="173B7A"/>
          <w:left w:val="single" w:sz="8" w:color="173B7A"/>
          <w:bottom w:val="single" w:sz="8" w:color="173B7A"/>
          <w:right w:val="single" w:sz="8" w:color="173B7A"/>
          <w:insideH w:val="single" w:sz="8" w:color="173B7A"/>
          <w:insideV w:val="single" w:sz="8" w:color="173B7A"/>
        </w:tblBorders>
      </w:tblPr>
      <w:tblGrid>
        <w:gridCol w:w="1247"/>
        <w:gridCol w:w="2324"/>
        <w:gridCol w:w="1247"/>
        <w:gridCol w:w="2324"/>
        <w:gridCol w:w="1247"/>
        <w:gridCol w:w="2381"/>
      </w:tblGrid>
      <w:tr>
        <w:tc>
          <w:tcPr>
            <w:tcW w:type="dxa" w:w="10770"/>
            <w:gridSpan w:val="6"/>
            <w:shd w:fill="FFFFFF"/>
            <w:vAlign w:val="center"/>
          </w:tcPr>
          <w:p>
            <w:pPr>
              <w:spacing w:before="260" w:after="260"/>
              <w:jc w:val="center"/>
            </w:pPr>
            <w:r>
              <w:rPr>
                <w:rFonts w:ascii="Noto Sans SC Export" w:hAnsi="Noto Sans SC Export" w:eastAsia="Noto Sans SC Export"/>
                <w:b/>
                <w:color w:val="14213D"/>
                <w:sz w:val="46"/>
              </w:rPr>
              <w:t>定制化沟通记录表</w:t>
            </w:r>
          </w:p>
        </w:tc>
      </w:tr>
      <w:tr>
        <w:tc>
          <w:tcPr>
            <w:tcW w:type="dxa" w:w="10770"/>
            <w:gridSpan w:val="6"/>
            <w:shd w:fill="FFF4D8"/>
          </w:tcPr>
          <w:p>
            <w:pPr>
              <w:jc w:val="center"/>
            </w:pPr>
            <w:r>
              <w:rPr>
                <w:rFonts w:ascii="Noto Sans SC Export" w:hAnsi="Noto Sans SC Export" w:eastAsia="Noto Sans SC Export"/>
                <w:b/>
                <w:color w:val="8A4D00"/>
                <w:sz w:val="20"/>
              </w:rPr>
              <w:t>AI 草稿待人工复核：当前内容不得作为正式结论或执行依据。</w:t>
            </w:r>
          </w:p>
        </w:tc>
      </w:tr>
      <w:tr>
        <w:tc>
          <w:tcPr>
            <w:tcW w:type="dxa" w:w="1247"/>
            <w:shd w:fill="F1F6FD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before="30" w:after="30"/>
              <w:jc w:val="center"/>
            </w:pPr>
            <w:r>
              <w:rPr>
                <w:rFonts w:ascii="Noto Sans SC Export" w:hAnsi="Noto Sans SC Export" w:eastAsia="Noto Sans SC Export"/>
                <w:b/>
                <w:color w:val="173B7A"/>
                <w:sz w:val="19"/>
              </w:rPr>
              <w:t>户号</w:t>
            </w:r>
          </w:p>
        </w:tc>
        <w:tc>
          <w:tcPr>
            <w:tcW w:type="dxa" w:w="2324"/>
            <w:shd w:fill="FFFFFF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before="30" w:after="30"/>
              <w:jc w:val="left"/>
            </w:pPr>
            <w:r>
              <w:rPr>
                <w:rFonts w:ascii="Noto Sans SC Export" w:hAnsi="Noto Sans SC Export" w:eastAsia="Noto Sans SC Export"/>
                <w:b w:val="0"/>
                <w:color w:val="14213D"/>
                <w:sz w:val="19"/>
              </w:rPr>
              <w:t>g50-5-501</w:t>
            </w:r>
          </w:p>
        </w:tc>
        <w:tc>
          <w:tcPr>
            <w:tcW w:type="dxa" w:w="1247"/>
            <w:shd w:fill="F1F6FD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before="30" w:after="30"/>
              <w:jc w:val="center"/>
            </w:pPr>
            <w:r>
              <w:rPr>
                <w:rFonts w:ascii="Noto Sans SC Export" w:hAnsi="Noto Sans SC Export" w:eastAsia="Noto Sans SC Export"/>
                <w:b/>
                <w:color w:val="173B7A"/>
                <w:sz w:val="19"/>
              </w:rPr>
              <w:t>面积</w:t>
            </w:r>
          </w:p>
        </w:tc>
        <w:tc>
          <w:tcPr>
            <w:tcW w:type="dxa" w:w="2324"/>
            <w:shd w:fill="FFFFFF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before="30" w:after="30"/>
              <w:jc w:val="left"/>
            </w:pPr>
            <w:r>
              <w:rPr>
                <w:rFonts w:ascii="Noto Sans SC Export" w:hAnsi="Noto Sans SC Export" w:eastAsia="Noto Sans SC Export"/>
                <w:b w:val="0"/>
                <w:color w:val="14213D"/>
                <w:sz w:val="19"/>
              </w:rPr>
              <w:t>待补充</w:t>
            </w:r>
          </w:p>
        </w:tc>
        <w:tc>
          <w:tcPr>
            <w:tcW w:type="dxa" w:w="1247"/>
            <w:shd w:fill="F1F6FD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before="30" w:after="30"/>
              <w:jc w:val="center"/>
            </w:pPr>
            <w:r>
              <w:rPr>
                <w:rFonts w:ascii="Noto Sans SC Export" w:hAnsi="Noto Sans SC Export" w:eastAsia="Noto Sans SC Export"/>
                <w:b/>
                <w:color w:val="173B7A"/>
                <w:sz w:val="19"/>
              </w:rPr>
              <w:t>风格</w:t>
            </w:r>
          </w:p>
        </w:tc>
        <w:tc>
          <w:tcPr>
            <w:tcW w:type="dxa" w:w="2381"/>
            <w:shd w:fill="FFFFFF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before="30" w:after="30"/>
              <w:jc w:val="left"/>
            </w:pPr>
            <w:r>
              <w:rPr>
                <w:rFonts w:ascii="Noto Sans SC Export" w:hAnsi="Noto Sans SC Export" w:eastAsia="Noto Sans SC Export"/>
                <w:b w:val="0"/>
                <w:color w:val="14213D"/>
                <w:sz w:val="19"/>
              </w:rPr>
              <w:t>待补充</w:t>
            </w:r>
          </w:p>
        </w:tc>
      </w:tr>
      <w:tr>
        <w:tc>
          <w:tcPr>
            <w:tcW w:type="dxa" w:w="1247"/>
            <w:shd w:fill="F1F6FD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before="30" w:after="30"/>
              <w:jc w:val="center"/>
            </w:pPr>
            <w:r>
              <w:rPr>
                <w:rFonts w:ascii="Noto Sans SC Export" w:hAnsi="Noto Sans SC Export" w:eastAsia="Noto Sans SC Export"/>
                <w:b/>
                <w:color w:val="173B7A"/>
                <w:sz w:val="19"/>
              </w:rPr>
              <w:t>时间</w:t>
            </w:r>
          </w:p>
        </w:tc>
        <w:tc>
          <w:tcPr>
            <w:tcW w:type="dxa" w:w="2324"/>
            <w:shd w:fill="FFFFFF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before="30" w:after="30"/>
              <w:jc w:val="left"/>
            </w:pPr>
            <w:r>
              <w:rPr>
                <w:rFonts w:ascii="Noto Sans SC Export" w:hAnsi="Noto Sans SC Export" w:eastAsia="Noto Sans SC Export"/>
                <w:b w:val="0"/>
                <w:color w:val="14213D"/>
                <w:sz w:val="19"/>
              </w:rPr>
              <w:t>2026年7月28日</w:t>
            </w:r>
          </w:p>
        </w:tc>
        <w:tc>
          <w:tcPr>
            <w:tcW w:type="dxa" w:w="1247"/>
            <w:shd w:fill="F1F6FD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before="30" w:after="30"/>
              <w:jc w:val="center"/>
            </w:pPr>
            <w:r>
              <w:rPr>
                <w:rFonts w:ascii="Noto Sans SC Export" w:hAnsi="Noto Sans SC Export" w:eastAsia="Noto Sans SC Export"/>
                <w:b/>
                <w:color w:val="173B7A"/>
                <w:sz w:val="19"/>
              </w:rPr>
              <w:t>地点</w:t>
            </w:r>
          </w:p>
        </w:tc>
        <w:tc>
          <w:tcPr>
            <w:tcW w:type="dxa" w:w="2324"/>
            <w:shd w:fill="FFFFFF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before="30" w:after="30"/>
              <w:jc w:val="left"/>
            </w:pPr>
            <w:r>
              <w:rPr>
                <w:rFonts w:ascii="Noto Sans SC Export" w:hAnsi="Noto Sans SC Export" w:eastAsia="Noto Sans SC Export"/>
                <w:b w:val="0"/>
                <w:color w:val="14213D"/>
                <w:sz w:val="19"/>
              </w:rPr>
              <w:t>未记录</w:t>
            </w:r>
          </w:p>
        </w:tc>
        <w:tc>
          <w:tcPr>
            <w:tcW w:type="dxa" w:w="1247"/>
            <w:shd w:fill="F1F6FD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before="30" w:after="30"/>
              <w:jc w:val="center"/>
            </w:pPr>
            <w:r>
              <w:rPr>
                <w:rFonts w:ascii="Noto Sans SC Export" w:hAnsi="Noto Sans SC Export" w:eastAsia="Noto Sans SC Export"/>
                <w:b/>
                <w:color w:val="173B7A"/>
                <w:sz w:val="19"/>
              </w:rPr>
              <w:t>次数</w:t>
            </w:r>
          </w:p>
        </w:tc>
        <w:tc>
          <w:tcPr>
            <w:tcW w:type="dxa" w:w="2381"/>
            <w:shd w:fill="FFFFFF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before="30" w:after="30"/>
              <w:jc w:val="left"/>
            </w:pPr>
            <w:r>
              <w:rPr>
                <w:rFonts w:ascii="Noto Sans SC Export" w:hAnsi="Noto Sans SC Export" w:eastAsia="Noto Sans SC Export"/>
                <w:b w:val="0"/>
                <w:color w:val="14213D"/>
                <w:sz w:val="19"/>
              </w:rPr>
              <w:t>第1次</w:t>
            </w:r>
          </w:p>
        </w:tc>
      </w:tr>
      <w:tr>
        <w:tc>
          <w:tcPr>
            <w:tcW w:type="dxa" w:w="1247"/>
            <w:shd w:fill="F1F6FD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before="30" w:after="30"/>
              <w:jc w:val="center"/>
            </w:pPr>
            <w:r>
              <w:rPr>
                <w:rFonts w:ascii="Noto Sans SC Export" w:hAnsi="Noto Sans SC Export" w:eastAsia="Noto Sans SC Export"/>
                <w:b/>
                <w:color w:val="173B7A"/>
                <w:sz w:val="19"/>
              </w:rPr>
              <w:t>设计</w:t>
            </w:r>
          </w:p>
        </w:tc>
        <w:tc>
          <w:tcPr>
            <w:tcW w:type="dxa" w:w="9523"/>
            <w:gridSpan w:val="5"/>
            <w:shd w:fill="FFFFFF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before="30" w:after="30"/>
              <w:jc w:val="left"/>
            </w:pPr>
            <w:r>
              <w:rPr>
                <w:rFonts w:ascii="Noto Sans SC Export" w:hAnsi="Noto Sans SC Export" w:eastAsia="Noto Sans SC Export"/>
                <w:b w:val="0"/>
                <w:color w:val="14213D"/>
                <w:sz w:val="19"/>
              </w:rPr>
              <w:t>未记录</w:t>
            </w:r>
          </w:p>
        </w:tc>
      </w:tr>
      <w:tr>
        <w:tc>
          <w:tcPr>
            <w:tcW w:type="dxa" w:w="1247"/>
            <w:shd w:fill="F1F6FD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before="30" w:after="30"/>
              <w:jc w:val="center"/>
            </w:pPr>
            <w:r>
              <w:rPr>
                <w:rFonts w:ascii="Noto Sans SC Export" w:hAnsi="Noto Sans SC Export" w:eastAsia="Noto Sans SC Export"/>
                <w:b/>
                <w:color w:val="173B7A"/>
                <w:sz w:val="19"/>
              </w:rPr>
              <w:t>管家</w:t>
            </w:r>
          </w:p>
        </w:tc>
        <w:tc>
          <w:tcPr>
            <w:tcW w:type="dxa" w:w="9523"/>
            <w:gridSpan w:val="5"/>
            <w:shd w:fill="FFFFFF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before="30" w:after="30"/>
              <w:jc w:val="left"/>
            </w:pPr>
            <w:r>
              <w:rPr>
                <w:rFonts w:ascii="Noto Sans SC Export" w:hAnsi="Noto Sans SC Export" w:eastAsia="Noto Sans SC Export"/>
                <w:b w:val="0"/>
                <w:color w:val="14213D"/>
                <w:sz w:val="19"/>
              </w:rPr>
              <w:t>未记录</w:t>
            </w:r>
          </w:p>
        </w:tc>
      </w:tr>
      <w:tr>
        <w:tc>
          <w:tcPr>
            <w:tcW w:type="dxa" w:w="1247"/>
            <w:shd w:fill="F1F6FD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before="30" w:after="30"/>
              <w:jc w:val="center"/>
            </w:pPr>
            <w:r>
              <w:rPr>
                <w:rFonts w:ascii="Noto Sans SC Export" w:hAnsi="Noto Sans SC Export" w:eastAsia="Noto Sans SC Export"/>
                <w:b/>
                <w:color w:val="173B7A"/>
                <w:sz w:val="19"/>
              </w:rPr>
              <w:t>营销</w:t>
            </w:r>
          </w:p>
        </w:tc>
        <w:tc>
          <w:tcPr>
            <w:tcW w:type="dxa" w:w="9523"/>
            <w:gridSpan w:val="5"/>
            <w:shd w:fill="FFFFFF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before="30" w:after="30"/>
              <w:jc w:val="left"/>
            </w:pPr>
            <w:r>
              <w:rPr>
                <w:rFonts w:ascii="Noto Sans SC Export" w:hAnsi="Noto Sans SC Export" w:eastAsia="Noto Sans SC Export"/>
                <w:b w:val="0"/>
                <w:color w:val="14213D"/>
                <w:sz w:val="19"/>
              </w:rPr>
              <w:t>未记录</w:t>
            </w:r>
          </w:p>
        </w:tc>
      </w:tr>
      <w:tr>
        <w:tc>
          <w:tcPr>
            <w:tcW w:type="dxa" w:w="1247"/>
            <w:shd w:fill="EAF2FD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before="30" w:after="30"/>
              <w:jc w:val="center"/>
            </w:pPr>
            <w:r>
              <w:rPr>
                <w:rFonts w:ascii="Noto Sans SC Export" w:hAnsi="Noto Sans SC Export" w:eastAsia="Noto Sans SC Export"/>
                <w:b/>
                <w:color w:val="173B7A"/>
                <w:sz w:val="19"/>
              </w:rPr>
              <w:t>总述</w:t>
            </w:r>
          </w:p>
        </w:tc>
        <w:tc>
          <w:tcPr>
            <w:tcW w:type="dxa" w:w="9523"/>
            <w:gridSpan w:val="5"/>
            <w:shd w:fill="EAF2FD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before="30" w:after="30"/>
              <w:jc w:val="left"/>
            </w:pPr>
            <w:r>
              <w:rPr>
                <w:rFonts w:ascii="Noto Sans SC Export" w:hAnsi="Noto Sans SC Export" w:eastAsia="Noto Sans SC Export"/>
                <w:b/>
                <w:color w:val="14213D"/>
                <w:sz w:val="20"/>
              </w:rPr>
              <w:t>本次沟通明确了空间与功能布局、总体方案、材料与饰面、机电与点位、柜体与收纳、电器与设备、软装与业主物品、合规与技术核查。客户要求：建议调整门的位置并拉平墙体，或设置移门，使空间关系更规整，形成独立房间感；参考案例采用开放式厨房、中西厨分离、岛台及弧形楼梯设计，客厅上方挑空；业主倾向方案一：通过隔出部分南阳台空间增加一个小卫生间，以扩大房间面积并解决卫生间太瘦长问题；其余 116 项按下表执行。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8AA4CA"/>
          <w:left w:val="single" w:sz="4" w:color="8AA4CA"/>
          <w:bottom w:val="single" w:sz="4" w:color="8AA4CA"/>
          <w:right w:val="single" w:sz="4" w:color="8AA4CA"/>
          <w:insideH w:val="single" w:sz="4" w:color="8AA4CA"/>
          <w:insideV w:val="single" w:sz="4" w:color="8AA4CA"/>
        </w:tblBorders>
      </w:tblPr>
      <w:tblGrid>
        <w:gridCol w:w="1020"/>
        <w:gridCol w:w="1621"/>
        <w:gridCol w:w="1621"/>
        <w:gridCol w:w="1621"/>
        <w:gridCol w:w="1621"/>
        <w:gridCol w:w="1621"/>
        <w:gridCol w:w="1621"/>
      </w:tblGrid>
      <w:tr>
        <w:tc>
          <w:tcPr>
            <w:tcW w:type="dxa" w:w="1020"/>
            <w:tcMar>
              <w:top w:w="70" w:type="dxa"/>
              <w:start w:w="90" w:type="dxa"/>
              <w:bottom w:w="70" w:type="dxa"/>
              <w:end w:w="90" w:type="dxa"/>
            </w:tcMar>
            <w:shd w:fill="F8FBFF"/>
            <w:vAlign w:val="center"/>
          </w:tcPr>
          <w:p>
            <w:pPr>
              <w:spacing w:before="30" w:after="30"/>
              <w:jc w:val="center"/>
            </w:pPr>
            <w:r>
              <w:rPr>
                <w:rFonts w:ascii="Noto Sans SC Export" w:hAnsi="Noto Sans SC Export" w:eastAsia="Noto Sans SC Export"/>
                <w:b/>
                <w:color w:val="173B7A"/>
                <w:sz w:val="16"/>
              </w:rPr>
              <w:t>颜色说明</w:t>
            </w:r>
          </w:p>
        </w:tc>
        <w:tc>
          <w:tcPr>
            <w:tcW w:type="dxa" w:w="1621"/>
            <w:tcMar>
              <w:top w:w="55" w:type="dxa"/>
              <w:start w:w="90" w:type="dxa"/>
              <w:bottom w:w="55" w:type="dxa"/>
              <w:end w:w="90" w:type="dxa"/>
            </w:tcMar>
            <w:shd w:fill="F8FBFF"/>
          </w:tcPr>
          <w:p>
            <w:pPr>
              <w:spacing w:before="20" w:after="20"/>
            </w:pPr>
            <w:r>
              <w:rPr>
                <w:rFonts w:ascii="Noto Sans SC Export" w:hAnsi="Noto Sans SC Export" w:eastAsia="Noto Sans SC Export"/>
                <w:color w:val="237A3B"/>
                <w:sz w:val="14"/>
              </w:rPr>
              <w:t>● 已明确/已确认</w:t>
            </w:r>
          </w:p>
        </w:tc>
        <w:tc>
          <w:tcPr>
            <w:tcW w:type="dxa" w:w="1621"/>
            <w:tcMar>
              <w:top w:w="55" w:type="dxa"/>
              <w:start w:w="90" w:type="dxa"/>
              <w:bottom w:w="55" w:type="dxa"/>
              <w:end w:w="90" w:type="dxa"/>
            </w:tcMar>
            <w:shd w:fill="F8FBFF"/>
          </w:tcPr>
          <w:p>
            <w:pPr>
              <w:spacing w:before="20" w:after="20"/>
            </w:pPr>
            <w:r>
              <w:rPr>
                <w:rFonts w:ascii="Noto Sans SC Export" w:hAnsi="Noto Sans SC Export" w:eastAsia="Noto Sans SC Export"/>
                <w:color w:val="2454A6"/>
                <w:sz w:val="14"/>
              </w:rPr>
              <w:t>● 方向性要求/建议</w:t>
            </w:r>
          </w:p>
        </w:tc>
        <w:tc>
          <w:tcPr>
            <w:tcW w:type="dxa" w:w="1621"/>
            <w:tcMar>
              <w:top w:w="55" w:type="dxa"/>
              <w:start w:w="90" w:type="dxa"/>
              <w:bottom w:w="55" w:type="dxa"/>
              <w:end w:w="90" w:type="dxa"/>
            </w:tcMar>
            <w:shd w:fill="F8FBFF"/>
          </w:tcPr>
          <w:p>
            <w:pPr>
              <w:spacing w:before="20" w:after="20"/>
            </w:pPr>
            <w:r>
              <w:rPr>
                <w:rFonts w:ascii="Noto Sans SC Export" w:hAnsi="Noto Sans SC Export" w:eastAsia="Noto Sans SC Export"/>
                <w:color w:val="B26A00"/>
                <w:sz w:val="14"/>
              </w:rPr>
              <w:t>● 待确认/责任待定</w:t>
            </w:r>
          </w:p>
        </w:tc>
        <w:tc>
          <w:tcPr>
            <w:tcW w:type="dxa" w:w="1621"/>
            <w:tcMar>
              <w:top w:w="55" w:type="dxa"/>
              <w:start w:w="90" w:type="dxa"/>
              <w:bottom w:w="55" w:type="dxa"/>
              <w:end w:w="90" w:type="dxa"/>
            </w:tcMar>
            <w:shd w:fill="F8FBFF"/>
          </w:tcPr>
          <w:p>
            <w:pPr>
              <w:spacing w:before="20" w:after="20"/>
            </w:pPr>
            <w:r>
              <w:rPr>
                <w:rFonts w:ascii="Noto Sans SC Export" w:hAnsi="Noto Sans SC Export" w:eastAsia="Noto Sans SC Export"/>
                <w:color w:val="D52B2B"/>
                <w:sz w:val="14"/>
              </w:rPr>
              <w:t>● 风险或重要限制</w:t>
            </w:r>
          </w:p>
        </w:tc>
        <w:tc>
          <w:tcPr>
            <w:tcW w:type="dxa" w:w="1621"/>
            <w:tcMar>
              <w:top w:w="55" w:type="dxa"/>
              <w:start w:w="90" w:type="dxa"/>
              <w:bottom w:w="55" w:type="dxa"/>
              <w:end w:w="90" w:type="dxa"/>
            </w:tcMar>
            <w:shd w:fill="F8FBFF"/>
          </w:tcPr>
          <w:p>
            <w:pPr>
              <w:spacing w:before="20" w:after="20"/>
            </w:pPr>
            <w:r>
              <w:rPr>
                <w:rFonts w:ascii="Noto Sans SC Export" w:hAnsi="Noto Sans SC Export" w:eastAsia="Noto Sans SC Export"/>
                <w:color w:val="A61D8E"/>
                <w:sz w:val="14"/>
              </w:rPr>
              <w:t>● 报价、增项或费用相关</w:t>
            </w:r>
          </w:p>
        </w:tc>
        <w:tc>
          <w:tcPr>
            <w:tcW w:type="dxa" w:w="1621"/>
            <w:tcMar>
              <w:top w:w="55" w:type="dxa"/>
              <w:start w:w="90" w:type="dxa"/>
              <w:bottom w:w="55" w:type="dxa"/>
              <w:end w:w="90" w:type="dxa"/>
            </w:tcMar>
            <w:shd w:fill="F8FBFF"/>
          </w:tcPr>
          <w:p>
            <w:pPr>
              <w:spacing w:before="20" w:after="20"/>
            </w:pPr>
            <w:r>
              <w:rPr>
                <w:rFonts w:ascii="Noto Sans SC Export" w:hAnsi="Noto Sans SC Export" w:eastAsia="Noto Sans SC Export"/>
                <w:color w:val="8A94A6"/>
                <w:sz w:val="14"/>
              </w:rPr>
              <w:t>● 已取消事项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5" w:color="8AA4CA"/>
          <w:left w:val="single" w:sz="5" w:color="8AA4CA"/>
          <w:bottom w:val="single" w:sz="5" w:color="8AA4CA"/>
          <w:right w:val="single" w:sz="5" w:color="8AA4CA"/>
          <w:insideH w:val="single" w:sz="5" w:color="8AA4CA"/>
          <w:insideV w:val="single" w:sz="5" w:color="8AA4CA"/>
        </w:tblBorders>
      </w:tblPr>
      <w:tblGrid>
        <w:gridCol w:w="1361"/>
        <w:gridCol w:w="9298"/>
      </w:tblGrid>
      <w:tr>
        <w:tc>
          <w:tcPr>
            <w:tcW w:type="dxa" w:w="1361"/>
            <w:shd w:fill="F1F6FD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before="30" w:after="30"/>
              <w:jc w:val="center"/>
            </w:pPr>
            <w:r>
              <w:rPr>
                <w:rFonts w:ascii="Noto Sans SC Export" w:hAnsi="Noto Sans SC Export" w:eastAsia="Noto Sans SC Export"/>
                <w:b/>
                <w:color w:val="173B7A"/>
                <w:sz w:val="18"/>
              </w:rPr>
              <w:t>空间与功能布局</w:t>
            </w:r>
          </w:p>
        </w:tc>
        <w:tc>
          <w:tcPr>
            <w:tcW w:type="dxa" w:w="9298"/>
            <w:tcMar>
              <w:top w:w="65" w:type="dxa"/>
              <w:start w:w="100" w:type="dxa"/>
              <w:bottom w:w="65" w:type="dxa"/>
              <w:end w:w="100" w:type="dxa"/>
            </w:tcMar>
          </w:tcPr>
          <w:p>
            <w:pPr>
              <w:numPr>
                <w:ilvl w:val="0"/>
                <w:numId w:val="10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A61D8E"/>
                <w:sz w:val="18"/>
              </w:rPr>
              <w:t>建议调整门的位置并拉平墙体，或设置移门，使空间关系更规整，形成独立房间感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0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参考案例采用开放式厨房、中西厨分离、岛台及弧形楼梯设计，客厅上方挑空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0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A61D8E"/>
                <w:sz w:val="18"/>
              </w:rPr>
              <w:t>业主倾向方案一：通过隔出部分南阳台空间增加一个小卫生间，以扩大房间面积并解决卫生间太瘦长问题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0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业主提出去客厅化方案，将原客厅区域调整为起居室/茶室/棋牌室，餐厅与开放式厨房结合，以扩大公共活动区域。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0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原主卧室变更为书房使用，原主卫位置及布局需重新规划。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0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A61D8E"/>
                <w:sz w:val="18"/>
              </w:rPr>
              <w:t>某房间定义为保姆间或储藏间两用；若作为保姆间，需配置独立小卫生间或共用设施。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责任：设计 · 发言：多人对话</w:t>
            </w:r>
          </w:p>
          <w:p>
            <w:pPr>
              <w:numPr>
                <w:ilvl w:val="0"/>
                <w:numId w:val="10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考虑调整次卧床头方向，使其背靠衣帽间墙体，改变进门动线，以优化空间感。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0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卧室墙体位置调整，需重新核算面积，原方案为21和19平方，现调整为约13-14平方，需确认最终尺寸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0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保姆间尺寸确认为2米乘2.38米，放置一张床，预留1米过道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0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A61D8E"/>
                <w:sz w:val="18"/>
              </w:rPr>
              <w:t>探讨将电视或投影设备结合楼梯造型设计的可能性，如利用扶手下方空间或电梯上方隐藏幕布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责任：设计 · 发言：多人对话</w:t>
            </w:r>
          </w:p>
          <w:p>
            <w:pPr>
              <w:numPr>
                <w:ilvl w:val="0"/>
                <w:numId w:val="10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讨论在厅内放置长桌作为用餐区的可能性，需考虑从厨房过来的动线长度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0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A61D8E"/>
                <w:sz w:val="18"/>
              </w:rPr>
              <w:t>考虑将厨房调整为C字形布局，北面窗边设台盆，西面烟道旁设灶具，并预留高柜放冰箱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责任：设计 · 发言：多人对话</w:t>
            </w:r>
          </w:p>
          <w:p>
            <w:pPr>
              <w:numPr>
                <w:ilvl w:val="0"/>
                <w:numId w:val="10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建议将北面区域划分为喝茶区或休闲活动空间，中间为餐厅和西厨，南面为起居室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0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A61D8E"/>
                <w:sz w:val="18"/>
              </w:rPr>
              <w:t>建议避免南北两侧同时封闭，保持至少一侧（如北面或南面）为敞开空间，以避免过道狭长压抑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0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电视背景墙设计需保持轻薄透气，具有构成感；底部建议采用悬空设计，避免厚重地台，同时兼顾儿童活动空间安全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责任：设计 · 发言：多人对话</w:t>
            </w:r>
          </w:p>
          <w:p>
            <w:pPr>
              <w:numPr>
                <w:ilvl w:val="0"/>
                <w:numId w:val="10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调整卧室门开启方向或位置，使卫生间和卧室门洞关系更合理，具体方案需设计师提供图纸确认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责任：设计 · 发言：多人对话</w:t>
            </w:r>
          </w:p>
          <w:p>
            <w:pPr>
              <w:numPr>
                <w:ilvl w:val="0"/>
                <w:numId w:val="10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确认采用步入式衣帽间+睡眠区+卫生间的套房式布局，进门处设置衣柜，内部设置长条书桌及书柜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责任：设计 · 发言：多人对话</w:t>
            </w:r>
          </w:p>
          <w:p>
            <w:pPr>
              <w:numPr>
                <w:ilvl w:val="0"/>
                <w:numId w:val="10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调整卫生间布局，避免马桶与淋浴区正对或处于同一视线直线上，建议将马桶与淋浴放在同一侧或错开，提升使用舒适度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责任：设计 · 发言：多人对话</w:t>
            </w:r>
          </w:p>
          <w:p>
            <w:pPr>
              <w:numPr>
                <w:ilvl w:val="0"/>
                <w:numId w:val="10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客厅位置调整至房屋中间区域，进门玄关保留，追求敞亮视觉效果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0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主卫取消浴缸配置，仅保留淋浴和马桶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0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将原客卫区域改造为客房，内部设置折叠床，平时可作为棋牌室或储物间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0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厨房岛台位置调整，靠近厨房墙体，形成类G字形布局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0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家政间设置在阳台区域，需通过特定房间进入，同时该房间也是进入露台的通道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0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厨房与餐厅之间不做隔断，保持视线贯通和敞开式布局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0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A61D8E"/>
                <w:sz w:val="18"/>
              </w:rPr>
              <w:t>客厅上方做隔板，新增第四个房间作为活动空间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责任：设计 · 发言：多人对话</w:t>
            </w:r>
          </w:p>
          <w:p>
            <w:pPr>
              <w:numPr>
                <w:ilvl w:val="0"/>
                <w:numId w:val="10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南套房一床头靠东放置，配置1.5米床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责任：设计 · 发言：多人对话</w:t>
            </w:r>
          </w:p>
          <w:p>
            <w:pPr>
              <w:numPr>
                <w:ilvl w:val="0"/>
                <w:numId w:val="10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保姆间东侧墙体向主卫挪动，保证房间净宽2米，深度2.38米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0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探讨将马桶移至侧边或管道井附近，以优化淋浴空间；需通过CAD精确尺寸确认是否足够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0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计划通过砌筑墙体或抬高柜体台阶的方式包覆管道，以保持空间规整；管子需用实墙包覆而非仅靠柜子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0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卫生间镜柜建议拉长设计，以匹配台面宽度，避免小镜子不协调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0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卫生间进行干湿分离调整，马桶和淋浴区独立封闭，洗手台外移或重新布局以实现动线顺畅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责任：设计 · 发言：多人对话</w:t>
            </w:r>
          </w:p>
          <w:p>
            <w:pPr>
              <w:numPr>
                <w:ilvl w:val="0"/>
                <w:numId w:val="10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卫生间房门建议与外部衣柜门做平处理，或考虑双开门设计以节省内部空间并保持外观整体性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0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A61D8E"/>
                <w:sz w:val="18"/>
              </w:rPr>
              <w:t>将二楼挑空区上方封闭为一个玻璃房间，作为儿童活动区或临时客房，采用落地玻璃隔断以保证采光。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0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调整二楼玻璃房间的边界位置，可能需要向后退让以优化楼梯交通枢纽空间和房间大小平衡。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责任：设计 · 发言：多人对话</w:t>
            </w:r>
          </w:p>
          <w:p>
            <w:pPr>
              <w:numPr>
                <w:ilvl w:val="0"/>
                <w:numId w:val="10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阳台大玻璃或门需考虑搬运限制，单块宽度建议控制在2米至2.43米之间，避免整块过大无法上楼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0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马桶位预留宽度调整为1米，原计划可能偏大，需确保舒适且不影响其他设施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0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主卧及次卧布局调整，其中一个房间放大并设置独立衣帽间和L型橱柜，动线参考酒店套房模式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0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A61D8E"/>
                <w:sz w:val="18"/>
              </w:rPr>
              <w:t>楼梯台阶排布需要重新调整，当前台阶数量或尺寸不足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0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A61D8E"/>
                <w:sz w:val="18"/>
              </w:rPr>
              <w:t>绘制楼上区域的平面布局图，参照楼下或既定风格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</w:tc>
      </w:tr>
      <w:tr>
        <w:tc>
          <w:tcPr>
            <w:tcW w:type="dxa" w:w="1361"/>
            <w:shd w:fill="F1F6FD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before="30" w:after="30"/>
              <w:jc w:val="center"/>
            </w:pPr>
            <w:r>
              <w:rPr>
                <w:rFonts w:ascii="Noto Sans SC Export" w:hAnsi="Noto Sans SC Export" w:eastAsia="Noto Sans SC Export"/>
                <w:b/>
                <w:color w:val="173B7A"/>
                <w:sz w:val="18"/>
              </w:rPr>
              <w:t>总体方案</w:t>
            </w:r>
          </w:p>
        </w:tc>
        <w:tc>
          <w:tcPr>
            <w:tcW w:type="dxa" w:w="9298"/>
            <w:tcMar>
              <w:top w:w="65" w:type="dxa"/>
              <w:start w:w="100" w:type="dxa"/>
              <w:bottom w:w="65" w:type="dxa"/>
              <w:end w:w="100" w:type="dxa"/>
            </w:tcMar>
          </w:tcPr>
          <w:p>
            <w:pPr>
              <w:numPr>
                <w:ilvl w:val="0"/>
                <w:numId w:val="11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业主诉求扩大房间面积，缩小客厅面积，以满足小孩居住及学习空间需求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1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业主认可去客厅化设计理念，不设置传统电视背景墙，强调空间通透与视线贯通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责任：设计 · 发言：多人对话</w:t>
            </w:r>
          </w:p>
        </w:tc>
      </w:tr>
      <w:tr>
        <w:tc>
          <w:tcPr>
            <w:tcW w:type="dxa" w:w="1361"/>
            <w:shd w:fill="F1F6FD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before="30" w:after="30"/>
              <w:jc w:val="center"/>
            </w:pPr>
            <w:r>
              <w:rPr>
                <w:rFonts w:ascii="Noto Sans SC Export" w:hAnsi="Noto Sans SC Export" w:eastAsia="Noto Sans SC Export"/>
                <w:b/>
                <w:color w:val="173B7A"/>
                <w:sz w:val="18"/>
              </w:rPr>
              <w:t>材料与饰面</w:t>
            </w:r>
          </w:p>
        </w:tc>
        <w:tc>
          <w:tcPr>
            <w:tcW w:type="dxa" w:w="9298"/>
            <w:tcMar>
              <w:top w:w="65" w:type="dxa"/>
              <w:start w:w="100" w:type="dxa"/>
              <w:bottom w:w="65" w:type="dxa"/>
              <w:end w:w="100" w:type="dxa"/>
            </w:tcMar>
          </w:tcPr>
          <w:p>
            <w:pPr>
              <w:numPr>
                <w:ilvl w:val="0"/>
                <w:numId w:val="12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确认不同区域吊顶高度，过道及部分区域约2.5米，挑空区及反光灯槽区域高度较高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2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主卧入口先经过独立衣帽间，再进入卫生间和睡眠区；衣帽间与卫生间通过移门分隔，保持墙面平整。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2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A61D8E"/>
                <w:sz w:val="18"/>
              </w:rPr>
              <w:t>卧室门及衣帽间门计划采用隐形门或平开门，以替代移门，提升美观度。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2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A61D8E"/>
                <w:sz w:val="18"/>
              </w:rPr>
              <w:t>衣帽间及卫生间入口建议采用隐形门设计，保持墙面整洁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2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A61D8E"/>
                <w:sz w:val="18"/>
              </w:rPr>
              <w:t>在次卧靠南靠窗的凹洞位置设置书桌，与墙面拉平，预留过道门位置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2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A61D8E"/>
                <w:sz w:val="18"/>
              </w:rPr>
              <w:t>电视位置需重新调整，可能与书架或造型墙结合，避免单纯的大白墙或难以处理的墙面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责任：设计 · 发言：多人对话</w:t>
            </w:r>
          </w:p>
          <w:p>
            <w:pPr>
              <w:numPr>
                <w:ilvl w:val="0"/>
                <w:numId w:val="12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参考做旧感的涂料效果，或烟熏橡木等木纹材质，追求质感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责任：业主 · 发言：多人对话</w:t>
            </w:r>
          </w:p>
          <w:p>
            <w:pPr>
              <w:numPr>
                <w:ilvl w:val="0"/>
                <w:numId w:val="12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业主偏好去装饰化、空间纯净风格，倾向使用艺术漆面，避免复杂木饰面堆砌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责任：设计 · 发言：多人对话</w:t>
            </w:r>
          </w:p>
          <w:p>
            <w:pPr>
              <w:numPr>
                <w:ilvl w:val="0"/>
                <w:numId w:val="12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若使用木饰面，偏好实木贴皮、显纹、带凹凸肌理感的半开放漆工艺，避免封闭式肤感膜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2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避免使用高光地砖配合灯带，业主认为反光效果过于冷硬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2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建议调整卫生间与卧室隔墙位置，使墙面与柱子取齐，扩大房间可用宽度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责任：设计 · 发言：多人对话</w:t>
            </w:r>
          </w:p>
          <w:p>
            <w:pPr>
              <w:numPr>
                <w:ilvl w:val="0"/>
                <w:numId w:val="12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西厨岛台、餐厅及客厅区域地面采用实木木纹地板通铺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2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墙面采用白色线条装饰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2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厨房区域考虑铺设木地板，需评估大面积木地板的伸缩缝处理及维护难度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2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讨论使用流向国内的琉璃砖或艺术玻璃作为装饰材料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2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A61D8E"/>
                <w:sz w:val="18"/>
              </w:rPr>
              <w:t>业主对现有材料不满意时可选择留白，或认可温德莱品质由其提供服务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2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A61D8E"/>
                <w:sz w:val="18"/>
              </w:rPr>
              <w:t>关于材料品牌或品质降级是否能减费的问题，需由营销部门向公司领导申请决策，设计方无权直接决定减价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责任：营销 · 发言：多人对话</w:t>
            </w:r>
          </w:p>
          <w:p>
            <w:pPr>
              <w:numPr>
                <w:ilvl w:val="0"/>
                <w:numId w:val="12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原梳妆区域调整为独立书房或工作台空间，靠窗设置书桌，其余墙面做收纳柜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责任：设计 · 发言：多人对话</w:t>
            </w:r>
          </w:p>
          <w:p>
            <w:pPr>
              <w:numPr>
                <w:ilvl w:val="0"/>
                <w:numId w:val="12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客厅区域吊顶采用局部挑高与边吊结合的方式，避免全平顶导致层高过低（约2.45米），追求空间通透感。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责任：设计 · 发言：多人对话</w:t>
            </w:r>
          </w:p>
          <w:p>
            <w:pPr>
              <w:numPr>
                <w:ilvl w:val="0"/>
                <w:numId w:val="12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吊顶造型拒绝圆弧设计，坚持使用直线条和直角元素，保持现代极简风格统一。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责任：设计 · 发言：多人对话</w:t>
            </w:r>
          </w:p>
          <w:p>
            <w:pPr>
              <w:numPr>
                <w:ilvl w:val="0"/>
                <w:numId w:val="12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简化吊顶灯光设计，避免复杂的环绕灯带，采用简单的高低差处理，必要时可不做灯带以保持清爽。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责任：设计 · 发言：多人对话</w:t>
            </w:r>
          </w:p>
        </w:tc>
      </w:tr>
      <w:tr>
        <w:tc>
          <w:tcPr>
            <w:tcW w:type="dxa" w:w="1361"/>
            <w:shd w:fill="F1F6FD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before="30" w:after="30"/>
              <w:jc w:val="center"/>
            </w:pPr>
            <w:r>
              <w:rPr>
                <w:rFonts w:ascii="Noto Sans SC Export" w:hAnsi="Noto Sans SC Export" w:eastAsia="Noto Sans SC Export"/>
                <w:b/>
                <w:color w:val="173B7A"/>
                <w:sz w:val="18"/>
              </w:rPr>
              <w:t>机电与点位</w:t>
            </w:r>
          </w:p>
        </w:tc>
        <w:tc>
          <w:tcPr>
            <w:tcW w:type="dxa" w:w="9298"/>
            <w:tcMar>
              <w:top w:w="65" w:type="dxa"/>
              <w:start w:w="100" w:type="dxa"/>
              <w:bottom w:w="65" w:type="dxa"/>
              <w:end w:w="100" w:type="dxa"/>
            </w:tcMar>
          </w:tcPr>
          <w:p>
            <w:pPr>
              <w:numPr>
                <w:ilvl w:val="0"/>
                <w:numId w:val="13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家政间内计划放置两台洗衣机和一个台盆，需确认上下水点位及空间尺寸。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3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卫生间布局调整，马桶背靠背排列，共用管道，需确认排水可行性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3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A61D8E"/>
                <w:sz w:val="18"/>
              </w:rPr>
              <w:t>计划将主卧卫生间横向布局调整，马桶沿排污管布置，淋浴、浴缸和台盆重新排布，并考虑包进拐角以优化尺寸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3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A61D8E"/>
                <w:sz w:val="18"/>
              </w:rPr>
              <w:t>在楼梯下方或电视墙附近区域新增水吧柜，用于放置咖啡机及收纳咖啡杯，需结合上下水点位设计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责任：设计 · 发言：多人对话</w:t>
            </w:r>
          </w:p>
          <w:p>
            <w:pPr>
              <w:numPr>
                <w:ilvl w:val="0"/>
                <w:numId w:val="13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A61D8E"/>
                <w:sz w:val="18"/>
              </w:rPr>
              <w:t>在水吧柜预定位置新增上水和下水点位，以支持咖啡机使用及清洗需求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责任：设计 · 发言：多人对话</w:t>
            </w:r>
          </w:p>
          <w:p>
            <w:pPr>
              <w:numPr>
                <w:ilvl w:val="0"/>
                <w:numId w:val="13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客厅内管道井及雨水管不可移动，需通过造型墙或类似壁炉结构进行包裹处理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3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A61D8E"/>
                <w:sz w:val="18"/>
              </w:rPr>
              <w:t>主卫北侧放浴缸，西侧双台盆，南侧淋浴房和马桶间，东侧活动梳妆台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3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讨论主卫台盆、马桶、淋浴的排列方式，业主倾向一排布置以显整洁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3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洗手台盆位置建议调整至进门处或镜像位置，以优化动线，原位置可能改为其他用途或封闭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3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A61D8E"/>
                <w:sz w:val="18"/>
              </w:rPr>
              <w:t>在电梯井道墙面电源位置附近开孔，安装墙面式新风或通风设备，利用电梯井道顶部气孔排气。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3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马桶排水管需从原位置移位，通过台面下方或墙体内部走管，并进行包管处理以隔音和美观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3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在家政间台盆下方预留扫地机器人上下水点位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3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在图纸上补充标注冰箱等电器的具体位置和尺寸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</w:tc>
      </w:tr>
      <w:tr>
        <w:tc>
          <w:tcPr>
            <w:tcW w:type="dxa" w:w="1361"/>
            <w:shd w:fill="F1F6FD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before="30" w:after="30"/>
              <w:jc w:val="center"/>
            </w:pPr>
            <w:r>
              <w:rPr>
                <w:rFonts w:ascii="Noto Sans SC Export" w:hAnsi="Noto Sans SC Export" w:eastAsia="Noto Sans SC Export"/>
                <w:b/>
                <w:color w:val="173B7A"/>
                <w:sz w:val="18"/>
              </w:rPr>
              <w:t>柜体与收纳</w:t>
            </w:r>
          </w:p>
        </w:tc>
        <w:tc>
          <w:tcPr>
            <w:tcW w:type="dxa" w:w="9298"/>
            <w:tcMar>
              <w:top w:w="65" w:type="dxa"/>
              <w:start w:w="100" w:type="dxa"/>
              <w:bottom w:w="65" w:type="dxa"/>
              <w:end w:w="100" w:type="dxa"/>
            </w:tcMar>
          </w:tcPr>
          <w:p>
            <w:pPr>
              <w:numPr>
                <w:ilvl w:val="0"/>
                <w:numId w:val="14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进门处及过道墙面计划设置柜体，部分柜体位于过道内，需协调门洞关系。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4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次卧衣柜设计为双面柜，一面朝向卧室，一面朝向卫生间，以增加储物便利性。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4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主卧内需设置梳妆台或工作台，建议与卫生间干湿分离，避免共用潮湿环境。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4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A61D8E"/>
                <w:sz w:val="18"/>
              </w:rPr>
              <w:t>卧室进门处设置60公分深衣柜，预留90公分过道，柜门从侧面开启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4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A61D8E"/>
                <w:sz w:val="18"/>
              </w:rPr>
              <w:t>卧室靠窗位置设置书桌及书架，优化动线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4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A61D8E"/>
                <w:sz w:val="18"/>
              </w:rPr>
              <w:t>洗衣机上下及台盆区域新增到顶储物柜，用于收纳烫衣板等物品，设计为开门可见式以替代抽拉结构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4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考虑采用壁挂电视或移动式活动电视，嵌入墙面或柜体以保持空间整洁，不占用额外地面空间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4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A61D8E"/>
                <w:sz w:val="18"/>
              </w:rPr>
              <w:t>在床尾或侧边新增衣柜，若空间不足可考虑增加一组，需配合卫生间门位置布局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4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A61D8E"/>
                <w:sz w:val="18"/>
              </w:rPr>
              <w:t>原计划的部分柜体建议取消或调整，以留出更多活动空间，可能改为长桌用餐区或休息区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责任：设计 · 发言：多人对话</w:t>
            </w:r>
          </w:p>
          <w:p>
            <w:pPr>
              <w:numPr>
                <w:ilvl w:val="0"/>
                <w:numId w:val="14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A61D8E"/>
                <w:sz w:val="18"/>
              </w:rPr>
              <w:t>建议在楼梯周围布置书架，围绕楼梯进行设计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责任：设计 · 发言：多人对话</w:t>
            </w:r>
          </w:p>
          <w:p>
            <w:pPr>
              <w:numPr>
                <w:ilvl w:val="0"/>
                <w:numId w:val="14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A61D8E"/>
                <w:sz w:val="18"/>
              </w:rPr>
              <w:t>考虑通过做柜子将墙面拉平，或通过镜像调整电视墙与楼梯位置，以解决空间规整度问题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责任：设计 · 发言：多人对话</w:t>
            </w:r>
          </w:p>
          <w:p>
            <w:pPr>
              <w:numPr>
                <w:ilvl w:val="0"/>
                <w:numId w:val="14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建议将水槽嵌入柜体或墙体内部，保持台面整洁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4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参考“无墙之家”概念，将门、柜子融入墙面系统，实现极简视觉效果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责任：设计 · 发言：多人对话</w:t>
            </w:r>
          </w:p>
          <w:p>
            <w:pPr>
              <w:numPr>
                <w:ilvl w:val="0"/>
                <w:numId w:val="14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A61D8E"/>
                <w:sz w:val="18"/>
              </w:rPr>
              <w:t>计划在负2楼和负1楼之间设置通顶黑色大书架作为隔断，背面考虑使用玻璃移门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4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A61D8E"/>
                <w:sz w:val="18"/>
              </w:rPr>
              <w:t>明确精装标配柜体品牌及业主自理柜体的费用承担规则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责任：业主 · 发言：多人对话</w:t>
            </w:r>
          </w:p>
          <w:p>
            <w:pPr>
              <w:numPr>
                <w:ilvl w:val="0"/>
                <w:numId w:val="14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电梯厅入户门左侧预留鞋柜位置，后期由业主自理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4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洗衣房西侧柜体放小洗衣机和烫衣板，东侧台面放两台并排洗衣机及衣物护理机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4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入户凹槽位置建议做成柜子或放置小端景（花艺、绿植等），作为进门对景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4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房间内需保留部分开放格或展示柜用于放书和展示，避免满墙封闭衣柜，同时满足大量衣物收纳需求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4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A61D8E"/>
                <w:sz w:val="18"/>
              </w:rPr>
              <w:t>在电视墙对面楼梯侧位置新增柜子，使墙面与柜体拉平，消除飞出的结构差；或选择留白处理。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4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A61D8E"/>
                <w:sz w:val="18"/>
              </w:rPr>
              <w:t>确认冰箱嵌入柜体，并采用伸缩玻璃移门设计。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4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A61D8E"/>
                <w:sz w:val="18"/>
              </w:rPr>
              <w:t>在家政区/卫生间旁新增一排薄储物柜，用于收纳洗衣机、台面等物品。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4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A61D8E"/>
                <w:sz w:val="18"/>
              </w:rPr>
              <w:t>计划制作两层实木柜子，具体尺寸和位置待进一步确认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4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A61D8E"/>
                <w:sz w:val="18"/>
              </w:rPr>
              <w:t>为扫地机器人和壁挂洗衣机预留位置，并制作相应台面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</w:tc>
      </w:tr>
      <w:tr>
        <w:tc>
          <w:tcPr>
            <w:tcW w:type="dxa" w:w="1361"/>
            <w:shd w:fill="F1F6FD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before="30" w:after="30"/>
              <w:jc w:val="center"/>
            </w:pPr>
            <w:r>
              <w:rPr>
                <w:rFonts w:ascii="Noto Sans SC Export" w:hAnsi="Noto Sans SC Export" w:eastAsia="Noto Sans SC Export"/>
                <w:b/>
                <w:color w:val="173B7A"/>
                <w:sz w:val="18"/>
              </w:rPr>
              <w:t>电器与设备</w:t>
            </w:r>
          </w:p>
        </w:tc>
        <w:tc>
          <w:tcPr>
            <w:tcW w:type="dxa" w:w="9298"/>
            <w:tcMar>
              <w:top w:w="65" w:type="dxa"/>
              <w:start w:w="100" w:type="dxa"/>
              <w:bottom w:w="65" w:type="dxa"/>
              <w:end w:w="100" w:type="dxa"/>
            </w:tcMar>
          </w:tcPr>
          <w:p>
            <w:pPr>
              <w:numPr>
                <w:ilvl w:val="0"/>
                <w:numId w:val="15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家政间设置并排洗衣机、衣物护理机，对面设置壁挂洗衣机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5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A61D8E"/>
                <w:sz w:val="18"/>
              </w:rPr>
              <w:t>家政间台面设置水槽和龙头，方便清洗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5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考虑使用升降式茶几，兼具茶桌和茶几功能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5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A61D8E"/>
                <w:sz w:val="18"/>
              </w:rPr>
              <w:t>提供利勃海尔、博世、卡萨帝三个品牌选项，建议选用全嵌入式冰箱以保持美观，也可接受明装大双开冰箱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责任：业主 · 发言：多人对话</w:t>
            </w:r>
          </w:p>
          <w:p>
            <w:pPr>
              <w:numPr>
                <w:ilvl w:val="0"/>
                <w:numId w:val="15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A61D8E"/>
                <w:sz w:val="18"/>
              </w:rPr>
              <w:t>在厨房或水吧柜区域规划微蒸烤、咖啡机及杯具收纳位置，避免岛台过于杂乱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5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探讨将冰箱嵌入双面柜立面中以保持空间敞开度的方案，需权衡收纳空间减少的影响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5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岛台长度调整为2米，满足早餐吧台功能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责任：设计 · 发言：多人对话</w:t>
            </w:r>
          </w:p>
          <w:p>
            <w:pPr>
              <w:numPr>
                <w:ilvl w:val="0"/>
                <w:numId w:val="15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确认配置两台扫地机器人，主卧一台，外部公共区域一台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5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对岛台实用性进行评估，若业主不常做饭则可能利用率低，类似样板间酒吧柜仅为展示效果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责任：业主 · 发言：多人对话</w:t>
            </w:r>
          </w:p>
          <w:p>
            <w:pPr>
              <w:numPr>
                <w:ilvl w:val="0"/>
                <w:numId w:val="15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淋浴区不建议安装玻璃门，业主认为多此一举且影响美观和使用便利性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5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厨房岛台长度确认为1.75米，宽度待量尺确认，原提及1.6米或95厘米需现场核实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5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台盆柜宽度从80厘米调整为90厘米，或根据剩余空间确定，最小不低于87厘米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5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小鱼缸需要保留，不得移除或替换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</w:tc>
      </w:tr>
      <w:tr>
        <w:tc>
          <w:tcPr>
            <w:tcW w:type="dxa" w:w="1361"/>
            <w:shd w:fill="F1F6FD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before="30" w:after="30"/>
              <w:jc w:val="center"/>
            </w:pPr>
            <w:r>
              <w:rPr>
                <w:rFonts w:ascii="Noto Sans SC Export" w:hAnsi="Noto Sans SC Export" w:eastAsia="Noto Sans SC Export"/>
                <w:b/>
                <w:color w:val="173B7A"/>
                <w:sz w:val="18"/>
              </w:rPr>
              <w:t>软装与业主物品</w:t>
            </w:r>
          </w:p>
        </w:tc>
        <w:tc>
          <w:tcPr>
            <w:tcW w:type="dxa" w:w="9298"/>
            <w:tcMar>
              <w:top w:w="65" w:type="dxa"/>
              <w:start w:w="100" w:type="dxa"/>
              <w:bottom w:w="65" w:type="dxa"/>
              <w:end w:w="100" w:type="dxa"/>
            </w:tcMar>
          </w:tcPr>
          <w:p>
            <w:pPr>
              <w:numPr>
                <w:ilvl w:val="0"/>
                <w:numId w:val="16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A61D8E"/>
                <w:sz w:val="18"/>
              </w:rPr>
              <w:t>设计结合楼梯和电梯井的电视背景墙，采用悬空构成或照壁墙形式，隐藏楼梯结构并整合电视功能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责任：设计 · 发言：多人对话</w:t>
            </w:r>
          </w:p>
          <w:p>
            <w:pPr>
              <w:numPr>
                <w:ilvl w:val="0"/>
                <w:numId w:val="16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客厅沙发需要反向摆放，以优化空间布局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责任：设计 · 发言：多人对话</w:t>
            </w:r>
          </w:p>
          <w:p>
            <w:pPr>
              <w:numPr>
                <w:ilvl w:val="0"/>
                <w:numId w:val="16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A61D8E"/>
                <w:sz w:val="18"/>
              </w:rPr>
              <w:t>岛台长度可调整为2米（原1.9米），并考虑局部内退以放置椅子作为早餐吧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6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建议采用环绕式沙发布局，围绕管道井形成岛屿状视觉中心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6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儿童房/次卧床具尺寸确认为1.5米宽，以留出更多活动空间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责任：业主 · 发言：多人对话</w:t>
            </w:r>
          </w:p>
        </w:tc>
      </w:tr>
      <w:tr>
        <w:tc>
          <w:tcPr>
            <w:tcW w:type="dxa" w:w="1361"/>
            <w:shd w:fill="F1F6FD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before="30" w:after="30"/>
              <w:jc w:val="center"/>
            </w:pPr>
            <w:r>
              <w:rPr>
                <w:rFonts w:ascii="Noto Sans SC Export" w:hAnsi="Noto Sans SC Export" w:eastAsia="Noto Sans SC Export"/>
                <w:b/>
                <w:color w:val="173B7A"/>
                <w:sz w:val="18"/>
              </w:rPr>
              <w:t>合规与技术核查</w:t>
            </w:r>
          </w:p>
        </w:tc>
        <w:tc>
          <w:tcPr>
            <w:tcW w:type="dxa" w:w="9298"/>
            <w:tcMar>
              <w:top w:w="65" w:type="dxa"/>
              <w:start w:w="100" w:type="dxa"/>
              <w:bottom w:w="65" w:type="dxa"/>
              <w:end w:w="100" w:type="dxa"/>
            </w:tcMar>
          </w:tcPr>
          <w:p>
            <w:pPr>
              <w:numPr>
                <w:ilvl w:val="0"/>
                <w:numId w:val="17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中厨需设置推拉门以满足燃气开通要求的密闭空间条件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7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入户门位置及两侧墙体体块需保持对称和模数统一，以符合秩序感审美要求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责任：设计 · 发言：多人对话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5" w:color="8AA4CA"/>
          <w:left w:val="single" w:sz="5" w:color="8AA4CA"/>
          <w:bottom w:val="single" w:sz="5" w:color="8AA4CA"/>
          <w:right w:val="single" w:sz="5" w:color="8AA4CA"/>
          <w:insideH w:val="single" w:sz="5" w:color="8AA4CA"/>
          <w:insideV w:val="single" w:sz="5" w:color="8AA4CA"/>
        </w:tblBorders>
      </w:tblPr>
      <w:tblGrid>
        <w:gridCol w:w="1361"/>
        <w:gridCol w:w="9298"/>
      </w:tblGrid>
      <w:tr>
        <w:tc>
          <w:tcPr>
            <w:tcW w:type="dxa" w:w="1361"/>
            <w:shd w:fill="F1F6FD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before="30" w:after="30"/>
              <w:jc w:val="center"/>
            </w:pPr>
            <w:r>
              <w:rPr>
                <w:rFonts w:ascii="Noto Sans SC Export" w:hAnsi="Noto Sans SC Export" w:eastAsia="Noto Sans SC Export"/>
                <w:b/>
                <w:color w:val="173B7A"/>
                <w:sz w:val="19"/>
              </w:rPr>
              <w:t>行动项</w:t>
            </w:r>
          </w:p>
        </w:tc>
        <w:tc>
          <w:tcPr>
            <w:tcW w:type="dxa" w:w="9298"/>
            <w:tcMar>
              <w:top w:w="65" w:type="dxa"/>
              <w:start w:w="100" w:type="dxa"/>
              <w:bottom w:w="65" w:type="dxa"/>
              <w:end w:w="100" w:type="dxa"/>
            </w:tcMar>
          </w:tcPr>
          <w:p>
            <w:pPr>
              <w:numPr>
                <w:ilvl w:val="0"/>
                <w:numId w:val="18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核查建筑图纸准确性，原图可能存在错误，需确认最新建筑图以解决管道镜像及位置问题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；责任：设计 · 时限：下次沟通前 · 发言：多人对话</w:t>
            </w:r>
          </w:p>
          <w:p>
            <w:pPr>
              <w:numPr>
                <w:ilvl w:val="0"/>
                <w:numId w:val="18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核查阳台区域排水条件，目前仅有50管（生活排水），无马桶排污管，且未留降板，墙排高度可能不足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；责任：设计 · 时限：下次沟通前 · 发言：多人对话</w:t>
            </w:r>
          </w:p>
          <w:p>
            <w:pPr>
              <w:numPr>
                <w:ilvl w:val="0"/>
                <w:numId w:val="18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设计方需向公司同事汇报并核查楼上增加排水管道（如马桶排污）的可行性，涉及废水污水合并及管综问题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；责任：设计 · 时限：下次沟通前 · 发言：多人对话</w:t>
            </w:r>
          </w:p>
          <w:p>
            <w:pPr>
              <w:numPr>
                <w:ilvl w:val="0"/>
                <w:numId w:val="18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业主将在沟通群内发送丹麦设计师出具的初步方案效果图及想法，供设计方参考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；责任：设计 · 时限：下次沟通前 · 发言：多人对话</w:t>
            </w:r>
          </w:p>
          <w:p>
            <w:pPr>
              <w:numPr>
                <w:ilvl w:val="0"/>
                <w:numId w:val="18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核查销售承诺的预留卫生间洞口及剪力墙位置，业主质疑结构墙位置不合理，影响柜体布置及空间利用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；责任：设计 · 时限：下次沟通前 · 发言：多人对话</w:t>
            </w:r>
          </w:p>
          <w:p>
            <w:pPr>
              <w:numPr>
                <w:ilvl w:val="0"/>
                <w:numId w:val="18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需核查卫生间马桶下水管位置，以支持卫生间横向布局或移位方案。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；责任：设计 · 时限：下次沟通前 · 发言：多人对话</w:t>
            </w:r>
          </w:p>
          <w:p>
            <w:pPr>
              <w:numPr>
                <w:ilvl w:val="0"/>
                <w:numId w:val="18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需复核楼梯踏步数量及高度，当前计算踏步高度约232mm偏高，需增加踏步数以符合规范。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；责任：设计 · 时限：下次沟通前 · 发言：多人对话</w:t>
            </w:r>
          </w:p>
          <w:p>
            <w:pPr>
              <w:numPr>
                <w:ilvl w:val="0"/>
                <w:numId w:val="18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设计方需调整南北卫生间布局及卧室墙体位置，并将更新后的图纸发送至群内供业主及设计师审核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；责任：设计 · 时限：下次沟通前 · 发言：多人对话</w:t>
            </w:r>
          </w:p>
          <w:p>
            <w:pPr>
              <w:numPr>
                <w:ilvl w:val="0"/>
                <w:numId w:val="18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设计方需在图纸中用不同颜色或标记区分柜子区域，以便业主识别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；责任：设计 · 时限：下次沟通前 · 发言：多人对话</w:t>
            </w:r>
          </w:p>
          <w:p>
            <w:pPr>
              <w:numPr>
                <w:ilvl w:val="0"/>
                <w:numId w:val="18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核查图纸中排水管图层，区分雨水、废水及污水管位置，确认共有五个污水管点位（含镜像位置）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；责任：设计 · 时限：下次沟通前 · 发言：多人对话</w:t>
            </w:r>
          </w:p>
          <w:p>
            <w:pPr>
              <w:numPr>
                <w:ilvl w:val="0"/>
                <w:numId w:val="18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待现场测量两个剪力墙之间的净尺寸，目前预估为4.5米，需扣除围裙或柜体深度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；责任：设计 · 时限：下次沟通前 · 发言：多人对话</w:t>
            </w:r>
          </w:p>
          <w:p>
            <w:pPr>
              <w:numPr>
                <w:ilvl w:val="0"/>
                <w:numId w:val="18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设计师需根据沟通内容调整平面方案，特别是关于挑空区沙发与长桌的布局、厨房及餐厅的调整，并提供图纸供业主探讨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；责任：设计 · 时限：下次沟通前 · 发言：多人对话</w:t>
            </w:r>
          </w:p>
          <w:p>
            <w:pPr>
              <w:numPr>
                <w:ilvl w:val="0"/>
                <w:numId w:val="18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设计师需提供调整后的平面布置图，包含两个方案：1. 厨房餐厅及主卫不同布局方案；2. 完善后的整体平面图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；责任：设计 · 时限：下次沟通前 · 发言：多人对话</w:t>
            </w:r>
          </w:p>
          <w:p>
            <w:pPr>
              <w:numPr>
                <w:ilvl w:val="0"/>
                <w:numId w:val="18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设计师需将国外设计师（艾伦团队）制作的漫游动画或效果图发送至群内供业主查看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；责任：设计 · 时限：下次沟通前 · 发言：多人对话</w:t>
            </w:r>
          </w:p>
          <w:p>
            <w:pPr>
              <w:numPr>
                <w:ilvl w:val="0"/>
                <w:numId w:val="18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设计师将根据沟通结果调整平面方案，并生成更精致的三维模型供业主审阅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；责任：设计 · 时限：下次沟通前 · 发言：多人对话</w:t>
            </w:r>
          </w:p>
          <w:p>
            <w:pPr>
              <w:numPr>
                <w:ilvl w:val="0"/>
                <w:numId w:val="18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安排业主参观样板间，实地感受进口木皮及不同饰面效果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；责任：设计 · 时限：下次沟通前 · 发言：多人对话</w:t>
            </w:r>
          </w:p>
          <w:p>
            <w:pPr>
              <w:numPr>
                <w:ilvl w:val="0"/>
                <w:numId w:val="18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设计方需提供标注为方案一和方案二的两套设计图纸供业主选择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；责任：设计 · 时限：下次沟通前 · 发言：多人对话</w:t>
            </w:r>
          </w:p>
          <w:p>
            <w:pPr>
              <w:numPr>
                <w:ilvl w:val="0"/>
                <w:numId w:val="18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建议业主自行购买收藏级别的不同造型椅子，无需配置四把相同椅子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；责任：设计 · 时限：下次沟通前 · 发言：多人对话</w:t>
            </w:r>
          </w:p>
          <w:p>
            <w:pPr>
              <w:numPr>
                <w:ilvl w:val="0"/>
                <w:numId w:val="18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露台木地板积水问题，原因为护栏安装未做排水处理，水积在框子内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；责任：设计 · 时限：下次沟通前 · 发言：多人对话</w:t>
            </w:r>
          </w:p>
          <w:p>
            <w:pPr>
              <w:numPr>
                <w:ilvl w:val="0"/>
                <w:numId w:val="18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设计师提议下午有空时跟随业主回家现场查看实际情况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；责任：设计 · 时限：下次沟通前 · 发言：多人对话</w:t>
            </w:r>
          </w:p>
          <w:p>
            <w:pPr>
              <w:numPr>
                <w:ilvl w:val="0"/>
                <w:numId w:val="18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设计师将CAD原文件、PDF图纸及沟通纪要上传至小程序并发至群聊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；责任：设计 · 时限：下次沟通前 · 发言：多人对话</w:t>
            </w:r>
          </w:p>
          <w:p>
            <w:pPr>
              <w:numPr>
                <w:ilvl w:val="0"/>
                <w:numId w:val="18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业主需在小程序上对本次会议纪要进行电子签字确认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；责任：设计 · 时限：下次沟通前 · 发言：多人对话</w:t>
            </w:r>
          </w:p>
          <w:p>
            <w:pPr>
              <w:numPr>
                <w:ilvl w:val="0"/>
                <w:numId w:val="18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卫生间布局调整为进门见台盆，随后为马桶、淋浴及浴缸的动线顺序；设计方将提供此方案作为一稿方案供对比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；责任：设计 · 时限：下次沟通前 · 发言：多人对话</w:t>
            </w:r>
          </w:p>
          <w:p>
            <w:pPr>
              <w:numPr>
                <w:ilvl w:val="0"/>
                <w:numId w:val="18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阳台50排水管能否改动的问题，经核实因地下综合管网已施工完成，无法更改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；责任：设计 · 时限：下次沟通前 · 发言：多人对话</w:t>
            </w:r>
          </w:p>
          <w:p>
            <w:pPr>
              <w:numPr>
                <w:ilvl w:val="0"/>
                <w:numId w:val="18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设计方需在CAD中调整并输出多个平面布局方案（含厨房C型布局及卫生间不同开门方式），以便清晰展示尺寸和比例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；责任：设计 · 时限：下次沟通前 · 发言：多人对话</w:t>
            </w:r>
          </w:p>
          <w:p>
            <w:pPr>
              <w:numPr>
                <w:ilvl w:val="0"/>
                <w:numId w:val="18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设计师需根据沟通方向调整平面方案，包括卫生间干湿分离、洗手台位置、书房/衣帽间布局及房门细节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；责任：设计 · 时限：下次沟通前 · 发言：多人对话</w:t>
            </w:r>
          </w:p>
          <w:p>
            <w:pPr>
              <w:numPr>
                <w:ilvl w:val="0"/>
                <w:numId w:val="18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设计师将在群里分享李艾格（Liegger? 音译</w:t>
            </w:r>
            <w:r>
              <w:rPr>
                <w:rFonts w:ascii="Noto Sans SC Export" w:hAnsi="Noto Sans SC Export" w:eastAsia="Noto Sans SC Export"/>
                <w:b/>
                <w:color w:val="C54B00"/>
                <w:sz w:val="18"/>
                <w:shd w:fill="FFF1D6"/>
              </w:rPr>
              <w:t>待确认</w:t>
            </w: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）展厅的小红书链接供业主参考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；责任：设计 · 时限：下次沟通前 · 发言：多人对话</w:t>
            </w:r>
          </w:p>
          <w:p>
            <w:pPr>
              <w:numPr>
                <w:ilvl w:val="0"/>
                <w:numId w:val="18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设计师需提供带尺寸的图纸，并安排现场勘测，联系立伟申请入场许可及准备安全帽。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；责任：设计 · 时限：下次沟通前 · 发言：多人对话</w:t>
            </w:r>
          </w:p>
          <w:p>
            <w:pPr>
              <w:numPr>
                <w:ilvl w:val="0"/>
                <w:numId w:val="18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设计师需根据沟通内容细化平面图，标注关键尺寸（如楼梯、门洞、家具位置），并发送至群聊供现场确认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；责任：设计 · 时限：下次沟通前 · 发言：多人对话</w:t>
            </w:r>
          </w:p>
          <w:p>
            <w:pPr>
              <w:numPr>
                <w:ilvl w:val="0"/>
                <w:numId w:val="18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将CAD图纸及导出的PDF文件发送至群聊，供业主查看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；责任：设计 · 时限：下次沟通前 · 发言：多人对话</w:t>
            </w:r>
          </w:p>
          <w:p>
            <w:pPr>
              <w:numPr>
                <w:ilvl w:val="0"/>
                <w:numId w:val="18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前往现场进行尺寸测量和复核，特别是冰箱等电器位置及整体空间感受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；责任：设计 · 时限：下次沟通前 · 发言：多人对话</w:t>
            </w:r>
          </w:p>
          <w:p>
            <w:pPr>
              <w:numPr>
                <w:ilvl w:val="0"/>
                <w:numId w:val="18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将调整后的楼梯排布方案截图发送给业主确认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；责任：设计 · 时限：下次沟通前 · 发言：多人对话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5" w:color="8AA4CA"/>
          <w:left w:val="single" w:sz="5" w:color="8AA4CA"/>
          <w:bottom w:val="single" w:sz="5" w:color="8AA4CA"/>
          <w:right w:val="single" w:sz="5" w:color="8AA4CA"/>
          <w:insideH w:val="single" w:sz="5" w:color="8AA4CA"/>
          <w:insideV w:val="single" w:sz="5" w:color="8AA4CA"/>
        </w:tblBorders>
      </w:tblPr>
      <w:tblGrid>
        <w:gridCol w:w="1361"/>
        <w:gridCol w:w="9298"/>
      </w:tblGrid>
      <w:tr>
        <w:tc>
          <w:tcPr>
            <w:tcW w:type="dxa" w:w="1361"/>
            <w:shd w:fill="F1F6FD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before="30" w:after="30"/>
              <w:jc w:val="center"/>
            </w:pPr>
            <w:r>
              <w:rPr>
                <w:rFonts w:ascii="Noto Sans SC Export" w:hAnsi="Noto Sans SC Export" w:eastAsia="Noto Sans SC Export"/>
                <w:b/>
                <w:color w:val="173B7A"/>
                <w:sz w:val="19"/>
              </w:rPr>
              <w:t>待确认事项</w:t>
            </w:r>
          </w:p>
        </w:tc>
        <w:tc>
          <w:tcPr>
            <w:tcW w:type="dxa" w:w="9298"/>
            <w:tcMar>
              <w:top w:w="70" w:type="dxa"/>
              <w:start w:w="90" w:type="dxa"/>
              <w:bottom w:w="70" w:type="dxa"/>
              <w:end w:w="90" w:type="dxa"/>
            </w:tcMar>
            <w:shd w:fill="FFFFFF"/>
            <w:vAlign w:val="center"/>
          </w:tcPr>
          <w:p>
            <w:pPr>
              <w:spacing w:before="30" w:after="30"/>
              <w:jc w:val="left"/>
            </w:pPr>
            <w:r>
              <w:rPr>
                <w:rFonts w:ascii="Noto Sans SC Export" w:hAnsi="Noto Sans SC Export" w:eastAsia="Noto Sans SC Export"/>
                <w:b w:val="0"/>
                <w:color w:val="14213D"/>
                <w:sz w:val="18"/>
              </w:rPr>
              <w:t>本次会议暂无待确认事项。</w:t>
            </w:r>
          </w:p>
        </w:tc>
      </w:tr>
    </w:tbl>
    <w:p>
      <w:pPr>
        <w:spacing w:before="100"/>
        <w:jc w:val="center"/>
      </w:pPr>
      <w:r>
        <w:rPr>
          <w:rFonts w:ascii="Noto Sans SC Export" w:hAnsi="Noto Sans SC Export" w:eastAsia="Noto Sans SC Export"/>
          <w:color w:val="65758F"/>
          <w:sz w:val="15"/>
        </w:rPr>
        <w:t>正式转写证据 184 段 · 发言角色 多人对话 · 生成时间 2026-07-28 04:17:36 · 版本 V5</w:t>
      </w:r>
    </w:p>
    <w:sectPr w:rsidR="00FC693F" w:rsidRPr="0006063C" w:rsidSect="00034616">
      <w:footerReference w:type="default" r:id="rId9"/>
      <w:pgSz w:w="11906" w:h="16838"/>
      <w:pgMar w:top="567" w:right="567" w:bottom="680" w:left="567" w:header="227" w:footer="283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Noto Sans SC Export" w:hAnsi="Noto Sans SC Export" w:eastAsia="Noto Sans SC Export"/>
        <w:color w:val="65758F"/>
        <w:sz w:val="16"/>
      </w:rPr>
      <w:t xml:space="preserve">g50-5-501 · 定制化沟通记录表 · V5 · 第 </w:t>
    </w:r>
    <w:fldSimple w:instr="PAGE"/>
    <w:r>
      <w:rPr>
        <w:rFonts w:ascii="Noto Sans SC Export" w:hAnsi="Noto Sans SC Export" w:eastAsia="Noto Sans SC Export"/>
        <w:color w:val="65758F"/>
        <w:sz w:val="16"/>
      </w:rPr>
      <w:t xml:space="preserve"> 页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multiLevelType w:val="singleLevel"/>
    <w:lvl w:ilvl="0">
      <w:start w:val="1"/>
      <w:numFmt w:val="decimal"/>
      <w:lvlText w:val="%1."/>
      <w:suff w:val="space"/>
      <w:pPr>
        <w:tabs>
          <w:tab w:val="num" w:pos="360"/>
        </w:tabs>
        <w:ind w:left="360" w:hanging="260"/>
      </w:pPr>
    </w:lvl>
  </w:abstractNum>
  <w:num w:numId="10">
    <w:abstractNumId w:val="9"/>
  </w:num>
  <w:abstractNum w:abstractNumId="10">
    <w:multiLevelType w:val="singleLevel"/>
    <w:lvl w:ilvl="0">
      <w:start w:val="1"/>
      <w:numFmt w:val="decimal"/>
      <w:lvlText w:val="%1."/>
      <w:suff w:val="space"/>
      <w:pPr>
        <w:tabs>
          <w:tab w:val="num" w:pos="360"/>
        </w:tabs>
        <w:ind w:left="360" w:hanging="260"/>
      </w:pPr>
    </w:lvl>
  </w:abstractNum>
  <w:num w:numId="11">
    <w:abstractNumId w:val="10"/>
  </w:num>
  <w:abstractNum w:abstractNumId="11">
    <w:multiLevelType w:val="singleLevel"/>
    <w:lvl w:ilvl="0">
      <w:start w:val="1"/>
      <w:numFmt w:val="decimal"/>
      <w:lvlText w:val="%1."/>
      <w:suff w:val="space"/>
      <w:pPr>
        <w:tabs>
          <w:tab w:val="num" w:pos="360"/>
        </w:tabs>
        <w:ind w:left="360" w:hanging="260"/>
      </w:pPr>
    </w:lvl>
  </w:abstractNum>
  <w:num w:numId="12">
    <w:abstractNumId w:val="11"/>
  </w:num>
  <w:abstractNum w:abstractNumId="12">
    <w:multiLevelType w:val="singleLevel"/>
    <w:lvl w:ilvl="0">
      <w:start w:val="1"/>
      <w:numFmt w:val="decimal"/>
      <w:lvlText w:val="%1."/>
      <w:suff w:val="space"/>
      <w:pPr>
        <w:tabs>
          <w:tab w:val="num" w:pos="360"/>
        </w:tabs>
        <w:ind w:left="360" w:hanging="260"/>
      </w:pPr>
    </w:lvl>
  </w:abstractNum>
  <w:num w:numId="13">
    <w:abstractNumId w:val="12"/>
  </w:num>
  <w:abstractNum w:abstractNumId="13">
    <w:multiLevelType w:val="singleLevel"/>
    <w:lvl w:ilvl="0">
      <w:start w:val="1"/>
      <w:numFmt w:val="decimal"/>
      <w:lvlText w:val="%1."/>
      <w:suff w:val="space"/>
      <w:pPr>
        <w:tabs>
          <w:tab w:val="num" w:pos="360"/>
        </w:tabs>
        <w:ind w:left="360" w:hanging="260"/>
      </w:pPr>
    </w:lvl>
  </w:abstractNum>
  <w:num w:numId="14">
    <w:abstractNumId w:val="13"/>
  </w:num>
  <w:abstractNum w:abstractNumId="14">
    <w:multiLevelType w:val="singleLevel"/>
    <w:lvl w:ilvl="0">
      <w:start w:val="1"/>
      <w:numFmt w:val="decimal"/>
      <w:lvlText w:val="%1."/>
      <w:suff w:val="space"/>
      <w:pPr>
        <w:tabs>
          <w:tab w:val="num" w:pos="360"/>
        </w:tabs>
        <w:ind w:left="360" w:hanging="260"/>
      </w:pPr>
    </w:lvl>
  </w:abstractNum>
  <w:num w:numId="15">
    <w:abstractNumId w:val="14"/>
  </w:num>
  <w:abstractNum w:abstractNumId="15">
    <w:multiLevelType w:val="singleLevel"/>
    <w:lvl w:ilvl="0">
      <w:start w:val="1"/>
      <w:numFmt w:val="decimal"/>
      <w:lvlText w:val="%1."/>
      <w:suff w:val="space"/>
      <w:pPr>
        <w:tabs>
          <w:tab w:val="num" w:pos="360"/>
        </w:tabs>
        <w:ind w:left="360" w:hanging="260"/>
      </w:pPr>
    </w:lvl>
  </w:abstractNum>
  <w:num w:numId="16">
    <w:abstractNumId w:val="15"/>
  </w:num>
  <w:abstractNum w:abstractNumId="16">
    <w:multiLevelType w:val="singleLevel"/>
    <w:lvl w:ilvl="0">
      <w:start w:val="1"/>
      <w:numFmt w:val="decimal"/>
      <w:lvlText w:val="%1."/>
      <w:suff w:val="space"/>
      <w:pPr>
        <w:tabs>
          <w:tab w:val="num" w:pos="360"/>
        </w:tabs>
        <w:ind w:left="360" w:hanging="260"/>
      </w:pPr>
    </w:lvl>
  </w:abstractNum>
  <w:num w:numId="17">
    <w:abstractNumId w:val="16"/>
  </w:num>
  <w:abstractNum w:abstractNumId="17">
    <w:multiLevelType w:val="singleLevel"/>
    <w:lvl w:ilvl="0">
      <w:start w:val="1"/>
      <w:numFmt w:val="decimal"/>
      <w:lvlText w:val="%1."/>
      <w:suff w:val="space"/>
      <w:pPr>
        <w:tabs>
          <w:tab w:val="num" w:pos="360"/>
        </w:tabs>
        <w:ind w:left="360" w:hanging="260"/>
      </w:pPr>
    </w:lvl>
  </w:abstract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line="264" w:lineRule="auto"/>
    </w:pPr>
    <w:rPr>
      <w:rFonts w:ascii="Noto Sans SC Export" w:hAnsi="Noto Sans SC Export" w:eastAsia="Noto Sans SC Export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g50-5-501 · 定制化沟通记录表</dc:title>
  <dc:subject>中堃定制化沟通记录表</dc:subject>
  <dc:creator>中堃会议纪要系统</dc:creator>
  <cp:keywords/>
  <dc:description>generated by python-docx</dc:description>
  <cp:lastModifiedBy>中堃会议纪要系统</cp:lastModifiedBy>
  <cp:revision>1</cp:revision>
  <dcterms:created xsi:type="dcterms:W3CDTF">2013-12-23T23:15:00Z</dcterms:created>
  <dcterms:modified xsi:type="dcterms:W3CDTF">2013-12-23T23:15:00Z</dcterms:modified>
  <cp:category/>
</cp:coreProperties>
</file>